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FE5" w:rsidRPr="00C70FE5" w:rsidRDefault="00C70FE5" w:rsidP="00C70FE5">
      <w:pPr>
        <w:shd w:val="clear" w:color="auto" w:fill="FFFFFF"/>
        <w:spacing w:after="150"/>
        <w:textAlignment w:val="top"/>
        <w:outlineLvl w:val="2"/>
        <w:rPr>
          <w:rFonts w:ascii="Arial" w:eastAsia="Times New Roman" w:hAnsi="Arial" w:cs="Arial"/>
          <w:b/>
          <w:bCs/>
          <w:color w:val="00468C"/>
          <w:sz w:val="30"/>
          <w:szCs w:val="30"/>
        </w:rPr>
      </w:pPr>
      <w:r w:rsidRPr="00C70FE5">
        <w:rPr>
          <w:rFonts w:ascii="Arial" w:eastAsia="Times New Roman" w:hAnsi="Arial" w:cs="Arial"/>
          <w:b/>
          <w:bCs/>
          <w:color w:val="00468C"/>
          <w:sz w:val="30"/>
          <w:szCs w:val="30"/>
        </w:rPr>
        <w:t>Chính sách mới có hiệu lực từ tháng 8/2024</w:t>
      </w:r>
    </w:p>
    <w:p w:rsidR="00C70FE5" w:rsidRPr="00C70FE5" w:rsidRDefault="00C70FE5" w:rsidP="00C70FE5">
      <w:pPr>
        <w:shd w:val="clear" w:color="auto" w:fill="FFFFFF"/>
        <w:spacing w:after="300"/>
        <w:jc w:val="both"/>
        <w:textAlignment w:val="top"/>
        <w:rPr>
          <w:rFonts w:ascii="Arial" w:eastAsia="Times New Roman" w:hAnsi="Arial" w:cs="Arial"/>
          <w:b/>
          <w:bCs/>
          <w:i/>
          <w:iCs/>
          <w:color w:val="333333"/>
          <w:sz w:val="23"/>
          <w:szCs w:val="23"/>
        </w:rPr>
      </w:pPr>
      <w:bookmarkStart w:id="0" w:name="_GoBack"/>
      <w:bookmarkEnd w:id="0"/>
      <w:r w:rsidRPr="00C70FE5">
        <w:rPr>
          <w:rFonts w:ascii="Arial" w:eastAsia="Times New Roman" w:hAnsi="Arial" w:cs="Arial"/>
          <w:b/>
          <w:bCs/>
          <w:i/>
          <w:iCs/>
          <w:color w:val="333333"/>
          <w:sz w:val="23"/>
          <w:szCs w:val="23"/>
        </w:rPr>
        <w:t>Một số Nghị định mới của Chính phủ quy định về đất đai, nhà ở và thị trường bất động sản... sẽ có hiệu lực từ tháng 8/2024.</w:t>
      </w:r>
    </w:p>
    <w:p w:rsidR="00C70FE5" w:rsidRPr="00C70FE5" w:rsidRDefault="00C70FE5" w:rsidP="00C70FE5">
      <w:pPr>
        <w:shd w:val="clear" w:color="auto" w:fill="FFFFFF"/>
        <w:textAlignment w:val="top"/>
        <w:outlineLvl w:val="2"/>
        <w:rPr>
          <w:rFonts w:ascii="NotoSerif" w:eastAsia="Times New Roman" w:hAnsi="NotoSerif" w:cs="Arial"/>
          <w:color w:val="333333"/>
          <w:sz w:val="36"/>
          <w:szCs w:val="36"/>
        </w:rPr>
      </w:pPr>
      <w:r w:rsidRPr="00C70FE5">
        <w:rPr>
          <w:rFonts w:ascii="NotoSerif" w:eastAsia="Times New Roman" w:hAnsi="NotoSerif" w:cs="Arial"/>
          <w:color w:val="333333"/>
          <w:sz w:val="36"/>
          <w:szCs w:val="36"/>
        </w:rPr>
        <w:t>Chính phủ ban hành Nghị định mới về giá đất</w:t>
      </w:r>
    </w:p>
    <w:p w:rsidR="00C70FE5" w:rsidRPr="00C70FE5" w:rsidRDefault="00C70FE5" w:rsidP="00C70FE5">
      <w:pPr>
        <w:shd w:val="clear" w:color="auto" w:fill="FFFFFF"/>
        <w:spacing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Nghị định số </w:t>
      </w:r>
      <w:hyperlink r:id="rId6" w:tgtFrame="_blank" w:tooltip="71/2024/NĐ-CP" w:history="1">
        <w:r w:rsidRPr="00C70FE5">
          <w:rPr>
            <w:rFonts w:ascii="NotoSerif" w:eastAsia="Times New Roman" w:hAnsi="NotoSerif" w:cs="Arial"/>
            <w:color w:val="0000FF"/>
            <w:sz w:val="26"/>
            <w:szCs w:val="26"/>
            <w:u w:val="single"/>
          </w:rPr>
          <w:t>71/2024/NĐ-CP</w:t>
        </w:r>
      </w:hyperlink>
      <w:r w:rsidRPr="00C70FE5">
        <w:rPr>
          <w:rFonts w:ascii="NotoSerif" w:eastAsia="Times New Roman" w:hAnsi="NotoSerif" w:cs="Arial"/>
          <w:color w:val="333333"/>
          <w:sz w:val="26"/>
          <w:szCs w:val="26"/>
        </w:rPr>
        <w:t xml:space="preserve"> ngày 27/6/2024 của Chính phủ quy định về giá đất, có hiệu lực thi hành kể từ ngày Luật Đất </w:t>
      </w:r>
      <w:proofErr w:type="gramStart"/>
      <w:r w:rsidRPr="00C70FE5">
        <w:rPr>
          <w:rFonts w:ascii="NotoSerif" w:eastAsia="Times New Roman" w:hAnsi="NotoSerif" w:cs="Arial"/>
          <w:color w:val="333333"/>
          <w:sz w:val="26"/>
          <w:szCs w:val="26"/>
        </w:rPr>
        <w:t>đai</w:t>
      </w:r>
      <w:proofErr w:type="gramEnd"/>
      <w:r w:rsidRPr="00C70FE5">
        <w:rPr>
          <w:rFonts w:ascii="NotoSerif" w:eastAsia="Times New Roman" w:hAnsi="NotoSerif" w:cs="Arial"/>
          <w:color w:val="333333"/>
          <w:sz w:val="26"/>
          <w:szCs w:val="26"/>
        </w:rPr>
        <w:t xml:space="preserve"> số 31/2024/QH15 có hiệu lực thi hành (ngày 1/8/2024).</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 xml:space="preserve">Nghị định 71/2024/NĐ-CP quy định cụ thể trình tự, nội dung xác định giá đất </w:t>
      </w:r>
      <w:proofErr w:type="gramStart"/>
      <w:r w:rsidRPr="00C70FE5">
        <w:rPr>
          <w:rFonts w:ascii="NotoSerif" w:eastAsia="Times New Roman" w:hAnsi="NotoSerif" w:cs="Arial"/>
          <w:color w:val="333333"/>
          <w:sz w:val="26"/>
          <w:szCs w:val="26"/>
        </w:rPr>
        <w:t>theo</w:t>
      </w:r>
      <w:proofErr w:type="gramEnd"/>
      <w:r w:rsidRPr="00C70FE5">
        <w:rPr>
          <w:rFonts w:ascii="NotoSerif" w:eastAsia="Times New Roman" w:hAnsi="NotoSerif" w:cs="Arial"/>
          <w:color w:val="333333"/>
          <w:sz w:val="26"/>
          <w:szCs w:val="26"/>
        </w:rPr>
        <w:t xml:space="preserve"> 4 phương pháp gồm so sánh, thu nhập, thặng dư, hệ số điều chỉnh giá đất.</w:t>
      </w:r>
    </w:p>
    <w:p w:rsidR="00C70FE5" w:rsidRPr="00C70FE5" w:rsidRDefault="00C70FE5" w:rsidP="00C70FE5">
      <w:pPr>
        <w:shd w:val="clear" w:color="auto" w:fill="FFFFFF"/>
        <w:textAlignment w:val="top"/>
        <w:outlineLvl w:val="2"/>
        <w:rPr>
          <w:rFonts w:ascii="NotoSerif" w:eastAsia="Times New Roman" w:hAnsi="NotoSerif" w:cs="Arial"/>
          <w:color w:val="333333"/>
          <w:sz w:val="36"/>
          <w:szCs w:val="36"/>
        </w:rPr>
      </w:pPr>
      <w:r w:rsidRPr="00C70FE5">
        <w:rPr>
          <w:rFonts w:ascii="NotoSerif" w:eastAsia="Times New Roman" w:hAnsi="NotoSerif" w:cs="Arial"/>
          <w:b/>
          <w:bCs/>
          <w:color w:val="333333"/>
          <w:sz w:val="36"/>
          <w:szCs w:val="36"/>
        </w:rPr>
        <w:t xml:space="preserve">Quy định mới về bồi thường, hỗ trợ, tái định cư khi Nhà nước </w:t>
      </w:r>
      <w:proofErr w:type="gramStart"/>
      <w:r w:rsidRPr="00C70FE5">
        <w:rPr>
          <w:rFonts w:ascii="NotoSerif" w:eastAsia="Times New Roman" w:hAnsi="NotoSerif" w:cs="Arial"/>
          <w:b/>
          <w:bCs/>
          <w:color w:val="333333"/>
          <w:sz w:val="36"/>
          <w:szCs w:val="36"/>
        </w:rPr>
        <w:t>thu</w:t>
      </w:r>
      <w:proofErr w:type="gramEnd"/>
      <w:r w:rsidRPr="00C70FE5">
        <w:rPr>
          <w:rFonts w:ascii="NotoSerif" w:eastAsia="Times New Roman" w:hAnsi="NotoSerif" w:cs="Arial"/>
          <w:b/>
          <w:bCs/>
          <w:color w:val="333333"/>
          <w:sz w:val="36"/>
          <w:szCs w:val="36"/>
        </w:rPr>
        <w:t xml:space="preserve"> hồi đất</w:t>
      </w:r>
    </w:p>
    <w:p w:rsidR="00C70FE5" w:rsidRPr="00C70FE5" w:rsidRDefault="00C70FE5" w:rsidP="00C70FE5">
      <w:pPr>
        <w:shd w:val="clear" w:color="auto" w:fill="FFFFFF"/>
        <w:spacing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Nghị định số </w:t>
      </w:r>
      <w:hyperlink r:id="rId7" w:tgtFrame="_blank" w:tooltip="88/2024/NĐ-CP" w:history="1">
        <w:r w:rsidRPr="00C70FE5">
          <w:rPr>
            <w:rFonts w:ascii="NotoSerif" w:eastAsia="Times New Roman" w:hAnsi="NotoSerif" w:cs="Arial"/>
            <w:color w:val="0000FF"/>
            <w:sz w:val="26"/>
            <w:szCs w:val="26"/>
            <w:u w:val="single"/>
          </w:rPr>
          <w:t>88/2024/NĐ-CP</w:t>
        </w:r>
      </w:hyperlink>
      <w:r w:rsidRPr="00C70FE5">
        <w:rPr>
          <w:rFonts w:ascii="NotoSerif" w:eastAsia="Times New Roman" w:hAnsi="NotoSerif" w:cs="Arial"/>
          <w:color w:val="333333"/>
          <w:sz w:val="26"/>
          <w:szCs w:val="26"/>
        </w:rPr>
        <w:t xml:space="preserve"> ngày 13/7/2024 của Chính phủ quy định về bồi thường, hỗ trợ, tái định cư khi Nhà nước </w:t>
      </w:r>
      <w:proofErr w:type="gramStart"/>
      <w:r w:rsidRPr="00C70FE5">
        <w:rPr>
          <w:rFonts w:ascii="NotoSerif" w:eastAsia="Times New Roman" w:hAnsi="NotoSerif" w:cs="Arial"/>
          <w:color w:val="333333"/>
          <w:sz w:val="26"/>
          <w:szCs w:val="26"/>
        </w:rPr>
        <w:t>thu</w:t>
      </w:r>
      <w:proofErr w:type="gramEnd"/>
      <w:r w:rsidRPr="00C70FE5">
        <w:rPr>
          <w:rFonts w:ascii="NotoSerif" w:eastAsia="Times New Roman" w:hAnsi="NotoSerif" w:cs="Arial"/>
          <w:color w:val="333333"/>
          <w:sz w:val="26"/>
          <w:szCs w:val="26"/>
        </w:rPr>
        <w:t xml:space="preserve"> hồi đất; có hiệu lực từ 01/8/2024.</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Trong đó, Nghị định số 88/2024/NĐ-CP quy định việc bồi thường bằng đất có mục đích sử dụng khác với loại đất thu hồi hoặc bằng nhà ở khi Nhà nước thu hồi đất quy định tại khoản 1, Điều 96, khoản 1, Điều 98, khoản 1, Điều 99 của Luật Đất đai.</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Theo quy định giá đất tính tiền sử dụng đất khi bồi thường bằng đất có mục đích sử dụng khác với loại đất thu hồi cho hộ gia đình, cá nhân, người gốc Việt Nam định cư ở nước ngoài đang sử dụng đất ở, đang sở hữu nhà ở gắn liền với quyền sử dụng đất tại Việt Nam là giá đất được xác định theo bảng giá đất tại thời điểm phê duyệt phương án bồi thường, hỗ trợ, tái định cư.</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Trường hợp bồi thường bằng cho thuê đất thu tiền thuê đất trả tiền một lần cho cả thời gian thuê thì giá đất tính tiền thuê đất là giá đất cụ thể do UBND cấp có thẩm quyền quyết định tại thời điểm phê duyệt phương án bồi thường, hỗ trợ, tái định cư.</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Giá đất tính tiền sử dụng đất, tiền thuê đất khi bồi thường bằng đất có mục đích sử dụng khác với loại đất thu hồi cho tổ chức kinh tế có đất ở thu hồi là giá đất cụ thể do UBND cấp có thẩm quyền quyết định tại thời điểm phê duyệt phương án bồi thường, hỗ trợ, tái định cư.</w:t>
      </w:r>
    </w:p>
    <w:p w:rsidR="00C70FE5" w:rsidRPr="00C70FE5" w:rsidRDefault="00C70FE5" w:rsidP="00C70FE5">
      <w:pPr>
        <w:shd w:val="clear" w:color="auto" w:fill="FFFFFF"/>
        <w:textAlignment w:val="top"/>
        <w:outlineLvl w:val="2"/>
        <w:rPr>
          <w:rFonts w:ascii="NotoSerif" w:eastAsia="Times New Roman" w:hAnsi="NotoSerif" w:cs="Arial"/>
          <w:color w:val="333333"/>
          <w:sz w:val="36"/>
          <w:szCs w:val="36"/>
        </w:rPr>
      </w:pPr>
      <w:r w:rsidRPr="00C70FE5">
        <w:rPr>
          <w:rFonts w:ascii="NotoSerif" w:eastAsia="Times New Roman" w:hAnsi="NotoSerif" w:cs="Arial"/>
          <w:b/>
          <w:bCs/>
          <w:color w:val="333333"/>
          <w:sz w:val="36"/>
          <w:szCs w:val="36"/>
        </w:rPr>
        <w:t>Xây dựng cơ sở dữ liệu nhà ở và thị trường bất động sản</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lastRenderedPageBreak/>
        <w:t>Nghị định số 94/2024/NĐ-CP ngày 24/7/2024 của Chính phủ quy định chi tiết một số điều của Luật Kinh doanh bất động sản về xây dựng và quản lý hệ thống thông tin, cơ sở dữ liệu về nhà ở và thị trường bất động sản, có hiệu lực từ ngày 1/8/2024.</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proofErr w:type="gramStart"/>
      <w:r w:rsidRPr="00C70FE5">
        <w:rPr>
          <w:rFonts w:ascii="NotoSerif" w:eastAsia="Times New Roman" w:hAnsi="NotoSerif" w:cs="Arial"/>
          <w:color w:val="333333"/>
          <w:sz w:val="26"/>
          <w:szCs w:val="26"/>
        </w:rPr>
        <w:t>Nghị định nêu rõ, cơ sở dữ liệu về nhà ở và thị trường bất động sản được xây dựng phù hợp với Khung kiến trúc tổng thể quốc gia số, kiến trúc chính quyền điện tử ở địa phương.</w:t>
      </w:r>
      <w:proofErr w:type="gramEnd"/>
      <w:r w:rsidRPr="00C70FE5">
        <w:rPr>
          <w:rFonts w:ascii="NotoSerif" w:eastAsia="Times New Roman" w:hAnsi="NotoSerif" w:cs="Arial"/>
          <w:color w:val="333333"/>
          <w:sz w:val="26"/>
          <w:szCs w:val="26"/>
        </w:rPr>
        <w:t xml:space="preserve"> Việc chia sẻ dữ liệu về nhà ở và thị trường bất động sản giữa các bộ, ngành có liên quan và địa phương phục vụ quản lý nhà nước và giải quyết thủ tục hành chính được thực hiện theo quy định của Chính phủ về quản lý, kết nối và chia sẻ dữ liệu số của cơ quan nhà nước và pháp luật về giao dịch điện tử.</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Việc xây dựng cơ sở dữ liệu về nhà ở và thị trường bất động sản được thực hiện theo quy định về: Thu thập thông tin, dữ liệu; chia sẻ, cung cấp thông tin, dữ liệu; tiếp nhận và xử lý, lưu trữ thông tin, dữ liệu; thời hạn chia sẻ, cung cấp thông tin, dữ liệu về nhà ở và thị trường bất động sản.</w:t>
      </w:r>
    </w:p>
    <w:p w:rsidR="00C70FE5" w:rsidRPr="00C70FE5" w:rsidRDefault="00C70FE5" w:rsidP="00C70FE5">
      <w:pPr>
        <w:shd w:val="clear" w:color="auto" w:fill="FFFFFF"/>
        <w:textAlignment w:val="top"/>
        <w:outlineLvl w:val="2"/>
        <w:rPr>
          <w:rFonts w:ascii="NotoSerif" w:eastAsia="Times New Roman" w:hAnsi="NotoSerif" w:cs="Arial"/>
          <w:color w:val="333333"/>
          <w:sz w:val="36"/>
          <w:szCs w:val="36"/>
        </w:rPr>
      </w:pPr>
      <w:r w:rsidRPr="00C70FE5">
        <w:rPr>
          <w:rFonts w:ascii="NotoSerif" w:eastAsia="Times New Roman" w:hAnsi="NotoSerif" w:cs="Arial"/>
          <w:b/>
          <w:bCs/>
          <w:color w:val="333333"/>
          <w:sz w:val="36"/>
          <w:szCs w:val="36"/>
        </w:rPr>
        <w:t>Quy định mới về xây dựng nhà ở nhiều tầng nhiều căn hộ</w:t>
      </w:r>
    </w:p>
    <w:p w:rsidR="00C70FE5" w:rsidRPr="00C70FE5" w:rsidRDefault="00C70FE5" w:rsidP="00C70FE5">
      <w:pPr>
        <w:shd w:val="clear" w:color="auto" w:fill="FFFFFF"/>
        <w:spacing w:line="450" w:lineRule="atLeast"/>
        <w:jc w:val="both"/>
        <w:textAlignment w:val="top"/>
        <w:rPr>
          <w:rFonts w:ascii="NotoSerif" w:eastAsia="Times New Roman" w:hAnsi="NotoSerif" w:cs="Arial"/>
          <w:color w:val="333333"/>
          <w:sz w:val="26"/>
          <w:szCs w:val="26"/>
        </w:rPr>
      </w:pPr>
      <w:proofErr w:type="gramStart"/>
      <w:r w:rsidRPr="00C70FE5">
        <w:rPr>
          <w:rFonts w:ascii="NotoSerif" w:eastAsia="Times New Roman" w:hAnsi="NotoSerif" w:cs="Arial"/>
          <w:color w:val="333333"/>
          <w:sz w:val="26"/>
          <w:szCs w:val="26"/>
        </w:rPr>
        <w:t>Chính phủ đã ban hành Nghị định </w:t>
      </w:r>
      <w:hyperlink r:id="rId8" w:tgtFrame="_blank" w:history="1">
        <w:r w:rsidRPr="00C70FE5">
          <w:rPr>
            <w:rFonts w:ascii="NotoSerif" w:eastAsia="Times New Roman" w:hAnsi="NotoSerif" w:cs="Arial"/>
            <w:color w:val="0000FF"/>
            <w:sz w:val="26"/>
            <w:szCs w:val="26"/>
            <w:u w:val="single"/>
          </w:rPr>
          <w:t>95/2024/NĐ-CP </w:t>
        </w:r>
      </w:hyperlink>
      <w:r w:rsidRPr="00C70FE5">
        <w:rPr>
          <w:rFonts w:ascii="NotoSerif" w:eastAsia="Times New Roman" w:hAnsi="NotoSerif" w:cs="Arial"/>
          <w:color w:val="333333"/>
          <w:sz w:val="26"/>
          <w:szCs w:val="26"/>
        </w:rPr>
        <w:t>ngày 26/7/2024 quy định chi tiết một số điều của Luật Nhà ở 2023.</w:t>
      </w:r>
      <w:proofErr w:type="gramEnd"/>
    </w:p>
    <w:p w:rsidR="00C70FE5" w:rsidRPr="00C70FE5" w:rsidRDefault="00C70FE5" w:rsidP="00C70FE5">
      <w:pPr>
        <w:shd w:val="clear" w:color="auto" w:fill="FFFFFF"/>
        <w:spacing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Trong đó, Nghị định quy định</w:t>
      </w:r>
      <w:r w:rsidRPr="00C70FE5">
        <w:rPr>
          <w:rFonts w:ascii="NotoSerif" w:eastAsia="Times New Roman" w:hAnsi="NotoSerif" w:cs="Arial"/>
          <w:b/>
          <w:bCs/>
          <w:color w:val="333333"/>
          <w:sz w:val="26"/>
          <w:szCs w:val="26"/>
        </w:rPr>
        <w:t> </w:t>
      </w:r>
      <w:r w:rsidRPr="00C70FE5">
        <w:rPr>
          <w:rFonts w:ascii="NotoSerif" w:eastAsia="Times New Roman" w:hAnsi="NotoSerif" w:cs="Arial"/>
          <w:color w:val="333333"/>
          <w:sz w:val="26"/>
          <w:szCs w:val="26"/>
        </w:rPr>
        <w:t>việc xây dựng nhà ở nhiều tầng nhiều căn hộ được thực hiện như sau:</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Trường hợp xây dựng nhà ở nhiều tầng nhiều căn hộ để cho thuê, để bán hoặc kết hợp bán, cho thuê, cho thuê mua hoặc có quy mô từ 20 căn hộ trở lên để cho thuê thì phải thực hiện thủ tục đầu tư xây dựng dự án nhà ở theo quy định của pháp luật về đầu tư, pháp luật về nhà ở, pháp luật về xây dựng và pháp luật có liên quan;</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Trường hợp xây dựng nhà ở nhiều tầng nhiều căn hộ mà có quy mô dưới 20 căn hộ để cho thuê thì việc xây dựng nhà ở này phải thực hiện theo quy định về xây dựng nhà ở riêng lẻ của cá nhân, bao gồm yêu cầu về thiết kế, thẩm tra thiết kế xây dựng, cấp Giấy phép xây dựng, quản lý, giám sát thi công xây dựng và các yêu cầu về an toàn phòng cháy, chữa cháy theo quy định của pháp luật.</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proofErr w:type="gramStart"/>
      <w:r w:rsidRPr="00C70FE5">
        <w:rPr>
          <w:rFonts w:ascii="NotoSerif" w:eastAsia="Times New Roman" w:hAnsi="NotoSerif" w:cs="Arial"/>
          <w:color w:val="333333"/>
          <w:sz w:val="26"/>
          <w:szCs w:val="26"/>
        </w:rPr>
        <w:t>Nghị định này có hiệu lực từ ngày 1/8/2024.</w:t>
      </w:r>
      <w:proofErr w:type="gramEnd"/>
    </w:p>
    <w:p w:rsidR="00C70FE5" w:rsidRPr="00C70FE5" w:rsidRDefault="00C70FE5" w:rsidP="00C70FE5">
      <w:pPr>
        <w:shd w:val="clear" w:color="auto" w:fill="FFFFFF"/>
        <w:textAlignment w:val="top"/>
        <w:outlineLvl w:val="2"/>
        <w:rPr>
          <w:rFonts w:ascii="NotoSerif" w:eastAsia="Times New Roman" w:hAnsi="NotoSerif" w:cs="Arial"/>
          <w:color w:val="333333"/>
          <w:sz w:val="36"/>
          <w:szCs w:val="36"/>
        </w:rPr>
      </w:pPr>
      <w:r w:rsidRPr="00C70FE5">
        <w:rPr>
          <w:rFonts w:ascii="NotoSerif" w:eastAsia="Times New Roman" w:hAnsi="NotoSerif" w:cs="Arial"/>
          <w:b/>
          <w:bCs/>
          <w:color w:val="333333"/>
          <w:sz w:val="36"/>
          <w:szCs w:val="36"/>
        </w:rPr>
        <w:lastRenderedPageBreak/>
        <w:t>Quy định mới về điều kiện hoạt động của sàn giao dịch bất động sản</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proofErr w:type="gramStart"/>
      <w:r w:rsidRPr="00C70FE5">
        <w:rPr>
          <w:rFonts w:ascii="NotoSerif" w:eastAsia="Times New Roman" w:hAnsi="NotoSerif" w:cs="Arial"/>
          <w:color w:val="333333"/>
          <w:sz w:val="26"/>
          <w:szCs w:val="26"/>
        </w:rPr>
        <w:t>Chính phủ ban hành Nghị định 96/2024/NĐ-CP ngày 24/7/2024 quy định chi tiết một số điều của Luật Kinh doanh bất động sản.</w:t>
      </w:r>
      <w:proofErr w:type="gramEnd"/>
      <w:r w:rsidRPr="00C70FE5">
        <w:rPr>
          <w:rFonts w:ascii="NotoSerif" w:eastAsia="Times New Roman" w:hAnsi="NotoSerif" w:cs="Arial"/>
          <w:color w:val="333333"/>
          <w:sz w:val="26"/>
          <w:szCs w:val="26"/>
        </w:rPr>
        <w:t xml:space="preserve"> </w:t>
      </w:r>
      <w:proofErr w:type="gramStart"/>
      <w:r w:rsidRPr="00C70FE5">
        <w:rPr>
          <w:rFonts w:ascii="NotoSerif" w:eastAsia="Times New Roman" w:hAnsi="NotoSerif" w:cs="Arial"/>
          <w:color w:val="333333"/>
          <w:sz w:val="26"/>
          <w:szCs w:val="26"/>
        </w:rPr>
        <w:t>Nghị định này có hiệu lực từ ngày 1/8/2024.</w:t>
      </w:r>
      <w:proofErr w:type="gramEnd"/>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 xml:space="preserve">Nghị định nêu rõ sàn giao dịch bất động sản hoạt động phải đáp ứng đủ điều kiện </w:t>
      </w:r>
      <w:proofErr w:type="gramStart"/>
      <w:r w:rsidRPr="00C70FE5">
        <w:rPr>
          <w:rFonts w:ascii="NotoSerif" w:eastAsia="Times New Roman" w:hAnsi="NotoSerif" w:cs="Arial"/>
          <w:color w:val="333333"/>
          <w:sz w:val="26"/>
          <w:szCs w:val="26"/>
        </w:rPr>
        <w:t>theo</w:t>
      </w:r>
      <w:proofErr w:type="gramEnd"/>
      <w:r w:rsidRPr="00C70FE5">
        <w:rPr>
          <w:rFonts w:ascii="NotoSerif" w:eastAsia="Times New Roman" w:hAnsi="NotoSerif" w:cs="Arial"/>
          <w:color w:val="333333"/>
          <w:sz w:val="26"/>
          <w:szCs w:val="26"/>
        </w:rPr>
        <w:t xml:space="preserve"> quy định tại Điều 55 Luật Kinh doanh bất động sản.</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 xml:space="preserve">Người đại diện </w:t>
      </w:r>
      <w:proofErr w:type="gramStart"/>
      <w:r w:rsidRPr="00C70FE5">
        <w:rPr>
          <w:rFonts w:ascii="NotoSerif" w:eastAsia="Times New Roman" w:hAnsi="NotoSerif" w:cs="Arial"/>
          <w:color w:val="333333"/>
          <w:sz w:val="26"/>
          <w:szCs w:val="26"/>
        </w:rPr>
        <w:t>theo</w:t>
      </w:r>
      <w:proofErr w:type="gramEnd"/>
      <w:r w:rsidRPr="00C70FE5">
        <w:rPr>
          <w:rFonts w:ascii="NotoSerif" w:eastAsia="Times New Roman" w:hAnsi="NotoSerif" w:cs="Arial"/>
          <w:color w:val="333333"/>
          <w:sz w:val="26"/>
          <w:szCs w:val="26"/>
        </w:rPr>
        <w:t xml:space="preserve"> pháp luật của doanh nghiệp và người quản lý điều hành sàn giao dịch bất động sản phải chịu trách nhiệm về hoạt động của sàn giao dịch bất động sản. Người đại diện </w:t>
      </w:r>
      <w:proofErr w:type="gramStart"/>
      <w:r w:rsidRPr="00C70FE5">
        <w:rPr>
          <w:rFonts w:ascii="NotoSerif" w:eastAsia="Times New Roman" w:hAnsi="NotoSerif" w:cs="Arial"/>
          <w:color w:val="333333"/>
          <w:sz w:val="26"/>
          <w:szCs w:val="26"/>
        </w:rPr>
        <w:t>theo</w:t>
      </w:r>
      <w:proofErr w:type="gramEnd"/>
      <w:r w:rsidRPr="00C70FE5">
        <w:rPr>
          <w:rFonts w:ascii="NotoSerif" w:eastAsia="Times New Roman" w:hAnsi="NotoSerif" w:cs="Arial"/>
          <w:color w:val="333333"/>
          <w:sz w:val="26"/>
          <w:szCs w:val="26"/>
        </w:rPr>
        <w:t xml:space="preserve"> pháp luật của sàn giao dịch bất động sản có thể đồng thời là người quản lý điều hành sàn giao dịch bất động sản.</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 xml:space="preserve">Sàn giao dịch bất động sản phải có tên, địa chỉ giao dịch ổn định trên 12 tháng và trang thiết bị kỹ thuật đáp ứng yêu cầu </w:t>
      </w:r>
      <w:proofErr w:type="gramStart"/>
      <w:r w:rsidRPr="00C70FE5">
        <w:rPr>
          <w:rFonts w:ascii="NotoSerif" w:eastAsia="Times New Roman" w:hAnsi="NotoSerif" w:cs="Arial"/>
          <w:color w:val="333333"/>
          <w:sz w:val="26"/>
          <w:szCs w:val="26"/>
        </w:rPr>
        <w:t>theo</w:t>
      </w:r>
      <w:proofErr w:type="gramEnd"/>
      <w:r w:rsidRPr="00C70FE5">
        <w:rPr>
          <w:rFonts w:ascii="NotoSerif" w:eastAsia="Times New Roman" w:hAnsi="NotoSerif" w:cs="Arial"/>
          <w:color w:val="333333"/>
          <w:sz w:val="26"/>
          <w:szCs w:val="26"/>
        </w:rPr>
        <w:t xml:space="preserve"> nội dung hoạt động của sàn giao dịch bất động sản.</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 xml:space="preserve">Sàn giao dịch bất động sản có trách nhiệm thực hiện các biện pháp phòng chống rửa tiền, báo cáo về phòng chống rửa tiền </w:t>
      </w:r>
      <w:proofErr w:type="gramStart"/>
      <w:r w:rsidRPr="00C70FE5">
        <w:rPr>
          <w:rFonts w:ascii="NotoSerif" w:eastAsia="Times New Roman" w:hAnsi="NotoSerif" w:cs="Arial"/>
          <w:color w:val="333333"/>
          <w:sz w:val="26"/>
          <w:szCs w:val="26"/>
        </w:rPr>
        <w:t>theo</w:t>
      </w:r>
      <w:proofErr w:type="gramEnd"/>
      <w:r w:rsidRPr="00C70FE5">
        <w:rPr>
          <w:rFonts w:ascii="NotoSerif" w:eastAsia="Times New Roman" w:hAnsi="NotoSerif" w:cs="Arial"/>
          <w:color w:val="333333"/>
          <w:sz w:val="26"/>
          <w:szCs w:val="26"/>
        </w:rPr>
        <w:t xml:space="preserve"> quy định của pháp luật về phòng chống rửa tiền.</w:t>
      </w:r>
    </w:p>
    <w:p w:rsidR="00C70FE5" w:rsidRPr="00C70FE5" w:rsidRDefault="00C70FE5" w:rsidP="00C70FE5">
      <w:pPr>
        <w:shd w:val="clear" w:color="auto" w:fill="FFFFFF"/>
        <w:textAlignment w:val="top"/>
        <w:outlineLvl w:val="2"/>
        <w:rPr>
          <w:rFonts w:ascii="NotoSerif" w:eastAsia="Times New Roman" w:hAnsi="NotoSerif" w:cs="Arial"/>
          <w:color w:val="333333"/>
          <w:sz w:val="36"/>
          <w:szCs w:val="36"/>
        </w:rPr>
      </w:pPr>
      <w:r w:rsidRPr="00C70FE5">
        <w:rPr>
          <w:rFonts w:ascii="NotoSerif" w:eastAsia="Times New Roman" w:hAnsi="NotoSerif" w:cs="Arial"/>
          <w:b/>
          <w:bCs/>
          <w:color w:val="333333"/>
          <w:sz w:val="36"/>
          <w:szCs w:val="36"/>
        </w:rPr>
        <w:t xml:space="preserve">Các trường hợp di dời khẩn cấp nhà </w:t>
      </w:r>
      <w:proofErr w:type="gramStart"/>
      <w:r w:rsidRPr="00C70FE5">
        <w:rPr>
          <w:rFonts w:ascii="NotoSerif" w:eastAsia="Times New Roman" w:hAnsi="NotoSerif" w:cs="Arial"/>
          <w:b/>
          <w:bCs/>
          <w:color w:val="333333"/>
          <w:sz w:val="36"/>
          <w:szCs w:val="36"/>
        </w:rPr>
        <w:t>chung</w:t>
      </w:r>
      <w:proofErr w:type="gramEnd"/>
      <w:r w:rsidRPr="00C70FE5">
        <w:rPr>
          <w:rFonts w:ascii="NotoSerif" w:eastAsia="Times New Roman" w:hAnsi="NotoSerif" w:cs="Arial"/>
          <w:b/>
          <w:bCs/>
          <w:color w:val="333333"/>
          <w:sz w:val="36"/>
          <w:szCs w:val="36"/>
        </w:rPr>
        <w:t xml:space="preserve"> cư</w:t>
      </w:r>
    </w:p>
    <w:p w:rsidR="00C70FE5" w:rsidRPr="00C70FE5" w:rsidRDefault="00C70FE5" w:rsidP="00C70FE5">
      <w:pPr>
        <w:shd w:val="clear" w:color="auto" w:fill="FFFFFF"/>
        <w:spacing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Chính phủ ban hành Nghị định số </w:t>
      </w:r>
      <w:hyperlink r:id="rId9" w:tgtFrame="_blank" w:tooltip="98/2024/NĐ-CP" w:history="1">
        <w:r w:rsidRPr="00C70FE5">
          <w:rPr>
            <w:rFonts w:ascii="NotoSerif" w:eastAsia="Times New Roman" w:hAnsi="NotoSerif" w:cs="Arial"/>
            <w:color w:val="0000FF"/>
            <w:sz w:val="26"/>
            <w:szCs w:val="26"/>
            <w:u w:val="single"/>
          </w:rPr>
          <w:t>98/2024/NĐ-CP</w:t>
        </w:r>
      </w:hyperlink>
      <w:r w:rsidRPr="00C70FE5">
        <w:rPr>
          <w:rFonts w:ascii="NotoSerif" w:eastAsia="Times New Roman" w:hAnsi="NotoSerif" w:cs="Arial"/>
          <w:color w:val="333333"/>
          <w:sz w:val="26"/>
          <w:szCs w:val="26"/>
        </w:rPr>
        <w:t xml:space="preserve"> ngày 25/7/2024 quy định chi tiết một số điều của Luật Nhà ở về cải tạo, xây dựng lại nhà </w:t>
      </w:r>
      <w:proofErr w:type="gramStart"/>
      <w:r w:rsidRPr="00C70FE5">
        <w:rPr>
          <w:rFonts w:ascii="NotoSerif" w:eastAsia="Times New Roman" w:hAnsi="NotoSerif" w:cs="Arial"/>
          <w:color w:val="333333"/>
          <w:sz w:val="26"/>
          <w:szCs w:val="26"/>
        </w:rPr>
        <w:t>chung</w:t>
      </w:r>
      <w:proofErr w:type="gramEnd"/>
      <w:r w:rsidRPr="00C70FE5">
        <w:rPr>
          <w:rFonts w:ascii="NotoSerif" w:eastAsia="Times New Roman" w:hAnsi="NotoSerif" w:cs="Arial"/>
          <w:color w:val="333333"/>
          <w:sz w:val="26"/>
          <w:szCs w:val="26"/>
        </w:rPr>
        <w:t xml:space="preserve"> cư.</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Trong đó, Nghị định quy định các trường hợp di dời khẩn cấp nhà chung cư bao gồm: Nhà chung cư bị hư hỏng do cháy, nổ không còn đủ điều kiện bảo đảm an toàn để tiếp tục sử dụng; nhà chung cư bị hư hỏng do thiên tai, địch họa không còn đủ điều kiện bảo đảm an toàn để tiếp tục sử dụng.</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proofErr w:type="gramStart"/>
      <w:r w:rsidRPr="00C70FE5">
        <w:rPr>
          <w:rFonts w:ascii="NotoSerif" w:eastAsia="Times New Roman" w:hAnsi="NotoSerif" w:cs="Arial"/>
          <w:color w:val="333333"/>
          <w:sz w:val="26"/>
          <w:szCs w:val="26"/>
        </w:rPr>
        <w:t>Nghị định có hiệu lực từ ngày 1/8/2024.</w:t>
      </w:r>
      <w:proofErr w:type="gramEnd"/>
    </w:p>
    <w:p w:rsidR="00C70FE5" w:rsidRPr="00C70FE5" w:rsidRDefault="00C70FE5" w:rsidP="00C70FE5">
      <w:pPr>
        <w:shd w:val="clear" w:color="auto" w:fill="FFFFFF"/>
        <w:textAlignment w:val="top"/>
        <w:outlineLvl w:val="2"/>
        <w:rPr>
          <w:rFonts w:ascii="NotoSerif" w:eastAsia="Times New Roman" w:hAnsi="NotoSerif" w:cs="Arial"/>
          <w:color w:val="333333"/>
          <w:sz w:val="36"/>
          <w:szCs w:val="36"/>
        </w:rPr>
      </w:pPr>
      <w:r w:rsidRPr="00C70FE5">
        <w:rPr>
          <w:rFonts w:ascii="NotoSerif" w:eastAsia="Times New Roman" w:hAnsi="NotoSerif" w:cs="Arial"/>
          <w:b/>
          <w:bCs/>
          <w:color w:val="333333"/>
          <w:sz w:val="36"/>
          <w:szCs w:val="36"/>
        </w:rPr>
        <w:t>Cấp Giấy chứng nhận quyền sử dụng đất lần đầu không quá 03 ngày làm việc</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lastRenderedPageBreak/>
        <w:t xml:space="preserve">Chính phủ đã ban hành Nghị định số 101/2024/NĐ-CP ngày 29/7/2024 quy định về điều tra cơ bản đất </w:t>
      </w:r>
      <w:proofErr w:type="gramStart"/>
      <w:r w:rsidRPr="00C70FE5">
        <w:rPr>
          <w:rFonts w:ascii="NotoSerif" w:eastAsia="Times New Roman" w:hAnsi="NotoSerif" w:cs="Arial"/>
          <w:color w:val="333333"/>
          <w:sz w:val="26"/>
          <w:szCs w:val="26"/>
        </w:rPr>
        <w:t>đai</w:t>
      </w:r>
      <w:proofErr w:type="gramEnd"/>
      <w:r w:rsidRPr="00C70FE5">
        <w:rPr>
          <w:rFonts w:ascii="NotoSerif" w:eastAsia="Times New Roman" w:hAnsi="NotoSerif" w:cs="Arial"/>
          <w:color w:val="333333"/>
          <w:sz w:val="26"/>
          <w:szCs w:val="26"/>
        </w:rPr>
        <w:t>, đăng ký cấp giấy chứng nhận quyền sử dụng đất, quyền sở hữu tài sản gắn liền với đất và hệ thống thông tin đất đai.</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 xml:space="preserve">Theo Nghị định, thời gian thực hiện thủ tục đăng ký đất </w:t>
      </w:r>
      <w:proofErr w:type="gramStart"/>
      <w:r w:rsidRPr="00C70FE5">
        <w:rPr>
          <w:rFonts w:ascii="NotoSerif" w:eastAsia="Times New Roman" w:hAnsi="NotoSerif" w:cs="Arial"/>
          <w:color w:val="333333"/>
          <w:sz w:val="26"/>
          <w:szCs w:val="26"/>
        </w:rPr>
        <w:t>đai</w:t>
      </w:r>
      <w:proofErr w:type="gramEnd"/>
      <w:r w:rsidRPr="00C70FE5">
        <w:rPr>
          <w:rFonts w:ascii="NotoSerif" w:eastAsia="Times New Roman" w:hAnsi="NotoSerif" w:cs="Arial"/>
          <w:color w:val="333333"/>
          <w:sz w:val="26"/>
          <w:szCs w:val="26"/>
        </w:rPr>
        <w:t>, tài sản gắn liền với đất, cấp Giấy chứng nhận quyền sử dụng đất, quyền sở hữu tài sản gắn liền với đất như sau:</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Đăng ký đất đai, tài sản gắn liền với đất lần đầu là không quá 20 ngày làm việc; cấp Giấy chứng nhận quyền sử dụng đất, quyền sở hữu tài sản gắn liền với đất lần đầu là không quá 03 ngày làm việc.</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proofErr w:type="gramStart"/>
      <w:r w:rsidRPr="00C70FE5">
        <w:rPr>
          <w:rFonts w:ascii="NotoSerif" w:eastAsia="Times New Roman" w:hAnsi="NotoSerif" w:cs="Arial"/>
          <w:color w:val="333333"/>
          <w:sz w:val="26"/>
          <w:szCs w:val="26"/>
        </w:rPr>
        <w:t>Nghị định trên có hiệu lực từ ngày 1/8/2024.</w:t>
      </w:r>
      <w:proofErr w:type="gramEnd"/>
    </w:p>
    <w:p w:rsidR="00C70FE5" w:rsidRPr="00C70FE5" w:rsidRDefault="00C70FE5" w:rsidP="00C70FE5">
      <w:pPr>
        <w:shd w:val="clear" w:color="auto" w:fill="FFFFFF"/>
        <w:textAlignment w:val="top"/>
        <w:outlineLvl w:val="2"/>
        <w:rPr>
          <w:rFonts w:ascii="NotoSerif" w:eastAsia="Times New Roman" w:hAnsi="NotoSerif" w:cs="Arial"/>
          <w:color w:val="333333"/>
          <w:sz w:val="36"/>
          <w:szCs w:val="36"/>
        </w:rPr>
      </w:pPr>
      <w:r w:rsidRPr="00C70FE5">
        <w:rPr>
          <w:rFonts w:ascii="NotoSerif" w:eastAsia="Times New Roman" w:hAnsi="NotoSerif" w:cs="Arial"/>
          <w:b/>
          <w:bCs/>
          <w:color w:val="333333"/>
          <w:sz w:val="36"/>
          <w:szCs w:val="36"/>
        </w:rPr>
        <w:t xml:space="preserve">Quy định hỗ trợ đất </w:t>
      </w:r>
      <w:proofErr w:type="gramStart"/>
      <w:r w:rsidRPr="00C70FE5">
        <w:rPr>
          <w:rFonts w:ascii="NotoSerif" w:eastAsia="Times New Roman" w:hAnsi="NotoSerif" w:cs="Arial"/>
          <w:b/>
          <w:bCs/>
          <w:color w:val="333333"/>
          <w:sz w:val="36"/>
          <w:szCs w:val="36"/>
        </w:rPr>
        <w:t>đai</w:t>
      </w:r>
      <w:proofErr w:type="gramEnd"/>
      <w:r w:rsidRPr="00C70FE5">
        <w:rPr>
          <w:rFonts w:ascii="NotoSerif" w:eastAsia="Times New Roman" w:hAnsi="NotoSerif" w:cs="Arial"/>
          <w:b/>
          <w:bCs/>
          <w:color w:val="333333"/>
          <w:sz w:val="36"/>
          <w:szCs w:val="36"/>
        </w:rPr>
        <w:t xml:space="preserve"> đối với đồng bào dân tộc thiểu số</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 xml:space="preserve">Chính phủ ban hành Nghị định số 102/2024/NĐ-CP ngày 30/7/2024 quy định chi tiết thi hành một số điều của Luật Đất </w:t>
      </w:r>
      <w:proofErr w:type="gramStart"/>
      <w:r w:rsidRPr="00C70FE5">
        <w:rPr>
          <w:rFonts w:ascii="NotoSerif" w:eastAsia="Times New Roman" w:hAnsi="NotoSerif" w:cs="Arial"/>
          <w:color w:val="333333"/>
          <w:sz w:val="26"/>
          <w:szCs w:val="26"/>
        </w:rPr>
        <w:t>đai</w:t>
      </w:r>
      <w:proofErr w:type="gramEnd"/>
      <w:r w:rsidRPr="00C70FE5">
        <w:rPr>
          <w:rFonts w:ascii="NotoSerif" w:eastAsia="Times New Roman" w:hAnsi="NotoSerif" w:cs="Arial"/>
          <w:color w:val="333333"/>
          <w:sz w:val="26"/>
          <w:szCs w:val="26"/>
        </w:rPr>
        <w:t xml:space="preserve">. </w:t>
      </w:r>
      <w:proofErr w:type="gramStart"/>
      <w:r w:rsidRPr="00C70FE5">
        <w:rPr>
          <w:rFonts w:ascii="NotoSerif" w:eastAsia="Times New Roman" w:hAnsi="NotoSerif" w:cs="Arial"/>
          <w:color w:val="333333"/>
          <w:sz w:val="26"/>
          <w:szCs w:val="26"/>
        </w:rPr>
        <w:t>Nghị định có hiệu lực thi hành từ 1/8/2024.</w:t>
      </w:r>
      <w:proofErr w:type="gramEnd"/>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 xml:space="preserve">Nghị định nêu rõ, việc hỗ trợ đất </w:t>
      </w:r>
      <w:proofErr w:type="gramStart"/>
      <w:r w:rsidRPr="00C70FE5">
        <w:rPr>
          <w:rFonts w:ascii="NotoSerif" w:eastAsia="Times New Roman" w:hAnsi="NotoSerif" w:cs="Arial"/>
          <w:color w:val="333333"/>
          <w:sz w:val="26"/>
          <w:szCs w:val="26"/>
        </w:rPr>
        <w:t>đai</w:t>
      </w:r>
      <w:proofErr w:type="gramEnd"/>
      <w:r w:rsidRPr="00C70FE5">
        <w:rPr>
          <w:rFonts w:ascii="NotoSerif" w:eastAsia="Times New Roman" w:hAnsi="NotoSerif" w:cs="Arial"/>
          <w:color w:val="333333"/>
          <w:sz w:val="26"/>
          <w:szCs w:val="26"/>
        </w:rPr>
        <w:t xml:space="preserve"> đối với cá nhân là người dân tộc thiểu số quy định tại khoản 3 Điều 16 Luật Đất đai thực hiện như sau:</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 xml:space="preserve">1- Đối với trường hợp không còn đất ở thì được giao đất ở hoặc được chuyển mục đích sử dụng đất từ loại đất khác sang đất ở; người sử dụng đất được miễn tiền sử dụng đất đối với diện tích trong hạn mức giao đất ở </w:t>
      </w:r>
      <w:proofErr w:type="gramStart"/>
      <w:r w:rsidRPr="00C70FE5">
        <w:rPr>
          <w:rFonts w:ascii="NotoSerif" w:eastAsia="Times New Roman" w:hAnsi="NotoSerif" w:cs="Arial"/>
          <w:color w:val="333333"/>
          <w:sz w:val="26"/>
          <w:szCs w:val="26"/>
        </w:rPr>
        <w:t>theo</w:t>
      </w:r>
      <w:proofErr w:type="gramEnd"/>
      <w:r w:rsidRPr="00C70FE5">
        <w:rPr>
          <w:rFonts w:ascii="NotoSerif" w:eastAsia="Times New Roman" w:hAnsi="NotoSerif" w:cs="Arial"/>
          <w:color w:val="333333"/>
          <w:sz w:val="26"/>
          <w:szCs w:val="26"/>
        </w:rPr>
        <w:t xml:space="preserve"> quy định của Ủy ban nhân dân cấp tỉnh.</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Trường hợp thiếu đất ở so với hạn mức giao đất ở thì được chuyển mục đích sử dụng đất từ loại đất khác sang đất ở và được miễn tiền sử dụng đất đối với diện tích trong hạn mức giao đất ở.</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2- Đối với trường hợp không còn đất nông nghiệp hoặc diện tích đất nông nghiệp đang sử dụng không đủ 50% diện tích đất so với hạn mức giao đất nông nghiệp của địa phương thì được giao tiếp đất nông nghiệp trong hạn mức.</w:t>
      </w:r>
    </w:p>
    <w:p w:rsidR="00C70FE5" w:rsidRPr="00C70FE5" w:rsidRDefault="00C70FE5" w:rsidP="00C70FE5">
      <w:pPr>
        <w:shd w:val="clear" w:color="auto" w:fill="FFFFFF"/>
        <w:textAlignment w:val="top"/>
        <w:outlineLvl w:val="2"/>
        <w:rPr>
          <w:rFonts w:ascii="NotoSerif" w:eastAsia="Times New Roman" w:hAnsi="NotoSerif" w:cs="Arial"/>
          <w:color w:val="333333"/>
          <w:sz w:val="36"/>
          <w:szCs w:val="36"/>
        </w:rPr>
      </w:pPr>
      <w:r w:rsidRPr="00C70FE5">
        <w:rPr>
          <w:rFonts w:ascii="NotoSerif" w:eastAsia="Times New Roman" w:hAnsi="NotoSerif" w:cs="Arial"/>
          <w:b/>
          <w:bCs/>
          <w:color w:val="333333"/>
          <w:sz w:val="36"/>
          <w:szCs w:val="36"/>
        </w:rPr>
        <w:t>Quy định mới về giảm tiền sử dụng đất áp dụng từ 1/8/2024</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proofErr w:type="gramStart"/>
      <w:r w:rsidRPr="00C70FE5">
        <w:rPr>
          <w:rFonts w:ascii="NotoSerif" w:eastAsia="Times New Roman" w:hAnsi="NotoSerif" w:cs="Arial"/>
          <w:color w:val="333333"/>
          <w:sz w:val="26"/>
          <w:szCs w:val="26"/>
        </w:rPr>
        <w:lastRenderedPageBreak/>
        <w:t>Chính phủ ban hành Nghị định 103/2024/NĐ-CP ngày 30/7/2024 quy định về tiền sử dụng đất, tiền thuê đất.</w:t>
      </w:r>
      <w:proofErr w:type="gramEnd"/>
      <w:r w:rsidRPr="00C70FE5">
        <w:rPr>
          <w:rFonts w:ascii="NotoSerif" w:eastAsia="Times New Roman" w:hAnsi="NotoSerif" w:cs="Arial"/>
          <w:color w:val="333333"/>
          <w:sz w:val="26"/>
          <w:szCs w:val="26"/>
        </w:rPr>
        <w:t xml:space="preserve"> Theo Nghị định, giảm 50% tiền sử dụng đất khi được cơ quan nhà nước có thẩm quyền giao đất, chuyển mục đích sử dụng đất, công nhận quyền sử dụng đất đối với người nghèo, hộ gia đình hoặc cá nhân là người dân tộc thiểu số tại các địa bàn không có điều kiện kinh tế - xã hội đặc biệt khó khăn, biên giới, hải đảo. Giảm 50% tiền sử dụng đất với đất ở cho các đối tượng quy định tại điểm a và điểm b khoản 3 Điều 124 của Luật Đất đai đang công tác tại các xã biên giới, hải đảo hoặc huyện đảo không có đơn vị hành chính cấp xã thuộc vùng có điều kiện kinh tế - xã hội đặc biệt khó khăn.</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Giảm 30% tiền sử dụng đất đối với đất ở cho các đối tượng quy định tại điểm a và điểm b khoản 3 Điều 124 của Luật Đất đai đang công tác tại các xã biên giới, hải đảo hoặc huyện đảo không có đơn vị hành chính cấp xã thuộc vùng có điều kiện kinh tế - xã hội khó khăn.</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proofErr w:type="gramStart"/>
      <w:r w:rsidRPr="00C70FE5">
        <w:rPr>
          <w:rFonts w:ascii="NotoSerif" w:eastAsia="Times New Roman" w:hAnsi="NotoSerif" w:cs="Arial"/>
          <w:color w:val="333333"/>
          <w:sz w:val="26"/>
          <w:szCs w:val="26"/>
        </w:rPr>
        <w:t>Nghị định trên có hiệu lực từ ngày 1/8/2024.</w:t>
      </w:r>
      <w:proofErr w:type="gramEnd"/>
    </w:p>
    <w:p w:rsidR="00C70FE5" w:rsidRPr="00C70FE5" w:rsidRDefault="00C70FE5" w:rsidP="00C70FE5">
      <w:pPr>
        <w:shd w:val="clear" w:color="auto" w:fill="FFFFFF"/>
        <w:textAlignment w:val="top"/>
        <w:outlineLvl w:val="2"/>
        <w:rPr>
          <w:rFonts w:ascii="NotoSerif" w:eastAsia="Times New Roman" w:hAnsi="NotoSerif" w:cs="Arial"/>
          <w:color w:val="333333"/>
          <w:sz w:val="36"/>
          <w:szCs w:val="36"/>
        </w:rPr>
      </w:pPr>
      <w:r w:rsidRPr="00C70FE5">
        <w:rPr>
          <w:rFonts w:ascii="NotoSerif" w:eastAsia="Times New Roman" w:hAnsi="NotoSerif" w:cs="Arial"/>
          <w:color w:val="333333"/>
          <w:sz w:val="36"/>
          <w:szCs w:val="36"/>
        </w:rPr>
        <w:t xml:space="preserve">Điều kiện xét thăng hạn viên chức hành chính, văn </w:t>
      </w:r>
      <w:proofErr w:type="gramStart"/>
      <w:r w:rsidRPr="00C70FE5">
        <w:rPr>
          <w:rFonts w:ascii="NotoSerif" w:eastAsia="Times New Roman" w:hAnsi="NotoSerif" w:cs="Arial"/>
          <w:color w:val="333333"/>
          <w:sz w:val="36"/>
          <w:szCs w:val="36"/>
        </w:rPr>
        <w:t>thư</w:t>
      </w:r>
      <w:proofErr w:type="gramEnd"/>
    </w:p>
    <w:p w:rsidR="00C70FE5" w:rsidRPr="00C70FE5" w:rsidRDefault="00C70FE5" w:rsidP="00C70FE5">
      <w:pPr>
        <w:shd w:val="clear" w:color="auto" w:fill="FFFFFF"/>
        <w:spacing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Bộ Nội vụ ban hành Thông tư </w:t>
      </w:r>
      <w:hyperlink r:id="rId10" w:tgtFrame="_blank" w:tooltip="05/2024/TT-BNV " w:history="1">
        <w:r w:rsidRPr="00C70FE5">
          <w:rPr>
            <w:rFonts w:ascii="NotoSerif" w:eastAsia="Times New Roman" w:hAnsi="NotoSerif" w:cs="Arial"/>
            <w:color w:val="0000FF"/>
            <w:sz w:val="26"/>
            <w:szCs w:val="26"/>
            <w:u w:val="single"/>
          </w:rPr>
          <w:t>05/2024/TT-BNV </w:t>
        </w:r>
      </w:hyperlink>
      <w:r w:rsidRPr="00C70FE5">
        <w:rPr>
          <w:rFonts w:ascii="NotoSerif" w:eastAsia="Times New Roman" w:hAnsi="NotoSerif" w:cs="Arial"/>
          <w:color w:val="333333"/>
          <w:sz w:val="26"/>
          <w:szCs w:val="26"/>
        </w:rPr>
        <w:t xml:space="preserve">ngày 27/6/2024 quy định quy định tiêu chuẩn, điều kiện xét thăng hạng lên hạng II và hạng I đối với viên chức hành chính, viên chức văn </w:t>
      </w:r>
      <w:proofErr w:type="gramStart"/>
      <w:r w:rsidRPr="00C70FE5">
        <w:rPr>
          <w:rFonts w:ascii="NotoSerif" w:eastAsia="Times New Roman" w:hAnsi="NotoSerif" w:cs="Arial"/>
          <w:color w:val="333333"/>
          <w:sz w:val="26"/>
          <w:szCs w:val="26"/>
        </w:rPr>
        <w:t>thư</w:t>
      </w:r>
      <w:proofErr w:type="gramEnd"/>
      <w:r w:rsidRPr="00C70FE5">
        <w:rPr>
          <w:rFonts w:ascii="NotoSerif" w:eastAsia="Times New Roman" w:hAnsi="NotoSerif" w:cs="Arial"/>
          <w:color w:val="333333"/>
          <w:sz w:val="26"/>
          <w:szCs w:val="26"/>
        </w:rPr>
        <w:t>, có hiệu lực từ ngày 15/8.</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Trong đó, các tiêu chuẩn viên chức hành chính xét thăng hạng lên hạng II gồm: Xếp loại hoàn thành tốt nhiệm vụ trở lên trong năm công tác liền kề trước năm dự xét thăng hạng; Có phẩm chất chính trị, đạo đức nghề nghiệp tốt; không trong thời hạn kỷ luật hay thực hiện quy định liên quan đến kỷ luật Đảng, hành chính.</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proofErr w:type="gramStart"/>
      <w:r w:rsidRPr="00C70FE5">
        <w:rPr>
          <w:rFonts w:ascii="NotoSerif" w:eastAsia="Times New Roman" w:hAnsi="NotoSerif" w:cs="Arial"/>
          <w:color w:val="333333"/>
          <w:sz w:val="26"/>
          <w:szCs w:val="26"/>
        </w:rPr>
        <w:t>Có năng lực, trình độ chuyên môn, nghiệp vụ để đảm nhận chức danh nghề nghiệp ở hạng I trong cùng lĩnh vực nghề nghiệp; Đáp ứng tiêu chuẩn về văn bằng, chứng chỉ và yêu cầu khác của hạng I chức danh nghề nghiệp viên chức hành chính.</w:t>
      </w:r>
      <w:proofErr w:type="gramEnd"/>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Đề án vị trí việc làm của đơn vị sự nghiệp công lập được xây dựng, phê duyệt có vị trí việc làm của chức danh viên chức dự xét thăng hạng; Được cấp có thẩm quyền cử dự xét thăng hạng; Giữ chức danh chuyên viên và tương đương từ đủ 9 năm trở lên trong đó không bao gồm thời gian tập sự, thử việc.</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proofErr w:type="gramStart"/>
      <w:r w:rsidRPr="00C70FE5">
        <w:rPr>
          <w:rFonts w:ascii="NotoSerif" w:eastAsia="Times New Roman" w:hAnsi="NotoSerif" w:cs="Arial"/>
          <w:color w:val="333333"/>
          <w:sz w:val="26"/>
          <w:szCs w:val="26"/>
        </w:rPr>
        <w:lastRenderedPageBreak/>
        <w:t>Trong đó, nếu có thời gian tương đương với chức danh chuyên viên thì phải có thời gian giữ chức danh chuyên viên tối thiểu 1 năm tính đến ngày hết hạn nộp hồ sơ.</w:t>
      </w:r>
      <w:proofErr w:type="gramEnd"/>
      <w:r w:rsidRPr="00C70FE5">
        <w:rPr>
          <w:rFonts w:ascii="NotoSerif" w:eastAsia="Times New Roman" w:hAnsi="NotoSerif" w:cs="Arial"/>
          <w:color w:val="333333"/>
          <w:sz w:val="26"/>
          <w:szCs w:val="26"/>
        </w:rPr>
        <w:t xml:space="preserve"> </w:t>
      </w:r>
      <w:proofErr w:type="gramStart"/>
      <w:r w:rsidRPr="00C70FE5">
        <w:rPr>
          <w:rFonts w:ascii="NotoSerif" w:eastAsia="Times New Roman" w:hAnsi="NotoSerif" w:cs="Arial"/>
          <w:color w:val="333333"/>
          <w:sz w:val="26"/>
          <w:szCs w:val="26"/>
        </w:rPr>
        <w:t>Đồng thời có nhiệm vụ khoa học được xác nhận bằng văn bản; trong thời gian giữ chức danh chuyên viên và tương đương đạt thành tích như được tặng bằng khen của Bộ, ban, ngành, tỉnh trở lên; có ít nhất 2 năm công tác được đánh giá chất lượng hoàn thành xuất sắc nhiệm vụ.</w:t>
      </w:r>
      <w:proofErr w:type="gramEnd"/>
    </w:p>
    <w:p w:rsidR="00C70FE5" w:rsidRPr="00C70FE5" w:rsidRDefault="00C70FE5" w:rsidP="00C70FE5">
      <w:pPr>
        <w:shd w:val="clear" w:color="auto" w:fill="FFFFFF"/>
        <w:textAlignment w:val="top"/>
        <w:outlineLvl w:val="2"/>
        <w:rPr>
          <w:rFonts w:ascii="NotoSerif" w:eastAsia="Times New Roman" w:hAnsi="NotoSerif" w:cs="Arial"/>
          <w:color w:val="333333"/>
          <w:sz w:val="36"/>
          <w:szCs w:val="36"/>
        </w:rPr>
      </w:pPr>
      <w:r w:rsidRPr="00C70FE5">
        <w:rPr>
          <w:rFonts w:ascii="NotoSerif" w:eastAsia="Times New Roman" w:hAnsi="NotoSerif" w:cs="Arial"/>
          <w:color w:val="333333"/>
          <w:sz w:val="36"/>
          <w:szCs w:val="36"/>
        </w:rPr>
        <w:t>Chuẩn mực thẩm định giá bất động sản</w:t>
      </w:r>
    </w:p>
    <w:p w:rsidR="00C70FE5" w:rsidRPr="00C70FE5" w:rsidRDefault="00C70FE5" w:rsidP="00C70FE5">
      <w:pPr>
        <w:shd w:val="clear" w:color="auto" w:fill="FFFFFF"/>
        <w:spacing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Bộ Tài chính đã ban hành Thông tư số </w:t>
      </w:r>
      <w:hyperlink r:id="rId11" w:tgtFrame="_blank" w:tooltip="42/2024/TT-BTC" w:history="1">
        <w:r w:rsidRPr="00C70FE5">
          <w:rPr>
            <w:rFonts w:ascii="NotoSerif" w:eastAsia="Times New Roman" w:hAnsi="NotoSerif" w:cs="Arial"/>
            <w:color w:val="0000FF"/>
            <w:sz w:val="26"/>
            <w:szCs w:val="26"/>
            <w:u w:val="single"/>
          </w:rPr>
          <w:t>42/2024/TT-BTC</w:t>
        </w:r>
      </w:hyperlink>
      <w:r w:rsidRPr="00C70FE5">
        <w:rPr>
          <w:rFonts w:ascii="NotoSerif" w:eastAsia="Times New Roman" w:hAnsi="NotoSerif" w:cs="Arial"/>
          <w:color w:val="333333"/>
          <w:sz w:val="26"/>
          <w:szCs w:val="26"/>
        </w:rPr>
        <w:t xml:space="preserve"> ngày 20/6/2024 ban hành Chuẩn mực thẩm định giá Việt Nam về Thẩm định giá bất động sản. </w:t>
      </w:r>
      <w:proofErr w:type="gramStart"/>
      <w:r w:rsidRPr="00C70FE5">
        <w:rPr>
          <w:rFonts w:ascii="NotoSerif" w:eastAsia="Times New Roman" w:hAnsi="NotoSerif" w:cs="Arial"/>
          <w:color w:val="333333"/>
          <w:sz w:val="26"/>
          <w:szCs w:val="26"/>
        </w:rPr>
        <w:t>Thông tư này có hiệu lực thi hành kể từ ngày 5/8/2024.</w:t>
      </w:r>
      <w:proofErr w:type="gramEnd"/>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 xml:space="preserve">Theo Thông tư, Chuẩn mực thẩm định giá Việt Nam này quy định và hướng dẫn về thẩm định giá bất động sản khi thẩm định giá </w:t>
      </w:r>
      <w:proofErr w:type="gramStart"/>
      <w:r w:rsidRPr="00C70FE5">
        <w:rPr>
          <w:rFonts w:ascii="NotoSerif" w:eastAsia="Times New Roman" w:hAnsi="NotoSerif" w:cs="Arial"/>
          <w:color w:val="333333"/>
          <w:sz w:val="26"/>
          <w:szCs w:val="26"/>
        </w:rPr>
        <w:t>theo</w:t>
      </w:r>
      <w:proofErr w:type="gramEnd"/>
      <w:r w:rsidRPr="00C70FE5">
        <w:rPr>
          <w:rFonts w:ascii="NotoSerif" w:eastAsia="Times New Roman" w:hAnsi="NotoSerif" w:cs="Arial"/>
          <w:color w:val="333333"/>
          <w:sz w:val="26"/>
          <w:szCs w:val="26"/>
        </w:rPr>
        <w:t xml:space="preserve"> quy định của pháp luật về giá. Chuẩn mực thẩm định giá Việt Nam này không áp dụng đối với trường hợp định giá đất </w:t>
      </w:r>
      <w:proofErr w:type="gramStart"/>
      <w:r w:rsidRPr="00C70FE5">
        <w:rPr>
          <w:rFonts w:ascii="NotoSerif" w:eastAsia="Times New Roman" w:hAnsi="NotoSerif" w:cs="Arial"/>
          <w:color w:val="333333"/>
          <w:sz w:val="26"/>
          <w:szCs w:val="26"/>
        </w:rPr>
        <w:t>theo</w:t>
      </w:r>
      <w:proofErr w:type="gramEnd"/>
      <w:r w:rsidRPr="00C70FE5">
        <w:rPr>
          <w:rFonts w:ascii="NotoSerif" w:eastAsia="Times New Roman" w:hAnsi="NotoSerif" w:cs="Arial"/>
          <w:color w:val="333333"/>
          <w:sz w:val="26"/>
          <w:szCs w:val="26"/>
        </w:rPr>
        <w:t xml:space="preserve"> quy định của pháp luật về đất.</w:t>
      </w:r>
    </w:p>
    <w:p w:rsidR="00C70FE5" w:rsidRPr="00C70FE5" w:rsidRDefault="00C70FE5" w:rsidP="00C70FE5">
      <w:pPr>
        <w:shd w:val="clear" w:color="auto" w:fill="FFFFFF"/>
        <w:textAlignment w:val="top"/>
        <w:outlineLvl w:val="2"/>
        <w:rPr>
          <w:rFonts w:ascii="NotoSerif" w:eastAsia="Times New Roman" w:hAnsi="NotoSerif" w:cs="Arial"/>
          <w:color w:val="333333"/>
          <w:sz w:val="36"/>
          <w:szCs w:val="36"/>
        </w:rPr>
      </w:pPr>
      <w:r w:rsidRPr="00C70FE5">
        <w:rPr>
          <w:rFonts w:ascii="NotoSerif" w:eastAsia="Times New Roman" w:hAnsi="NotoSerif" w:cs="Arial"/>
          <w:color w:val="333333"/>
          <w:sz w:val="36"/>
          <w:szCs w:val="36"/>
        </w:rPr>
        <w:t>Sử dụng tài khoản VNeID đăng ký tài khoản giao dịch thuế điện tử</w:t>
      </w:r>
    </w:p>
    <w:p w:rsidR="00C70FE5" w:rsidRPr="00C70FE5" w:rsidRDefault="00C70FE5" w:rsidP="00C70FE5">
      <w:pPr>
        <w:shd w:val="clear" w:color="auto" w:fill="FFFFFF"/>
        <w:spacing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Thông tư số </w:t>
      </w:r>
      <w:hyperlink r:id="rId12" w:tgtFrame="_blank" w:tooltip="46/2024/TT-BTC" w:history="1">
        <w:r w:rsidRPr="00C70FE5">
          <w:rPr>
            <w:rFonts w:ascii="NotoSerif" w:eastAsia="Times New Roman" w:hAnsi="NotoSerif" w:cs="Arial"/>
            <w:color w:val="0000FF"/>
            <w:sz w:val="26"/>
            <w:szCs w:val="26"/>
            <w:u w:val="single"/>
          </w:rPr>
          <w:t>46/2024/TT-BTC</w:t>
        </w:r>
      </w:hyperlink>
      <w:r w:rsidRPr="00C70FE5">
        <w:rPr>
          <w:rFonts w:ascii="NotoSerif" w:eastAsia="Times New Roman" w:hAnsi="NotoSerif" w:cs="Arial"/>
          <w:color w:val="333333"/>
          <w:sz w:val="26"/>
          <w:szCs w:val="26"/>
        </w:rPr>
        <w:t> ngày 9/7/2024 sửa đổi, bổ sung một số điều của Thông tư số 19/2021/TT-BTC hướng dẫn giao dịch điện tử trong lĩnh vực thuế, có hiệu lực thi hành từ ngày 28/8.</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Thông tư quy định người nộp thuế là cá nhân được sử dụng tài khoản VNeID thay cho xuất trình Chứng minh nhân dân/hộ chiếu/Căn cước công dân/thẻ Căn cước để đăng ký, cấp tài khoản giao dịch điện tử online nếu: Cá nhân đã đăng ký và kích hoạt tài khoản định danh điện tử (VNeID) mức 2; Hệ thống định danh, xác thực điện tử và Cổng dịch vụ điện tử của Tổng cục Thuế đã kết nối, vận hành.</w:t>
      </w:r>
    </w:p>
    <w:p w:rsidR="00C70FE5" w:rsidRPr="00C70FE5" w:rsidRDefault="00C70FE5" w:rsidP="00C70FE5">
      <w:pPr>
        <w:shd w:val="clear" w:color="auto" w:fill="FFFFFF"/>
        <w:textAlignment w:val="top"/>
        <w:outlineLvl w:val="2"/>
        <w:rPr>
          <w:rFonts w:ascii="NotoSerif" w:eastAsia="Times New Roman" w:hAnsi="NotoSerif" w:cs="Arial"/>
          <w:color w:val="333333"/>
          <w:sz w:val="36"/>
          <w:szCs w:val="36"/>
        </w:rPr>
      </w:pPr>
      <w:r w:rsidRPr="00C70FE5">
        <w:rPr>
          <w:rFonts w:ascii="NotoSerif" w:eastAsia="Times New Roman" w:hAnsi="NotoSerif" w:cs="Arial"/>
          <w:color w:val="333333"/>
          <w:sz w:val="36"/>
          <w:szCs w:val="36"/>
        </w:rPr>
        <w:t>Hướng dẫn xây dựng dự toán ngân sách nhà nước năm 2025 và kế hoạch tài chính - ngân sách nhà nước 03 năm 2025-2027</w:t>
      </w:r>
    </w:p>
    <w:p w:rsidR="00C70FE5" w:rsidRPr="00C70FE5" w:rsidRDefault="00C70FE5" w:rsidP="00C70FE5">
      <w:pPr>
        <w:shd w:val="clear" w:color="auto" w:fill="FFFFFF"/>
        <w:spacing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Ngày 26/7/2024, Bộ Tài chính đã ban hành Thông tư số </w:t>
      </w:r>
      <w:hyperlink r:id="rId13" w:tgtFrame="_blank" w:tooltip="49/2024/TT-BTC" w:history="1">
        <w:r w:rsidRPr="00C70FE5">
          <w:rPr>
            <w:rFonts w:ascii="NotoSerif" w:eastAsia="Times New Roman" w:hAnsi="NotoSerif" w:cs="Arial"/>
            <w:color w:val="0000FF"/>
            <w:sz w:val="26"/>
            <w:szCs w:val="26"/>
            <w:u w:val="single"/>
          </w:rPr>
          <w:t>49/2024/TT-BTC</w:t>
        </w:r>
      </w:hyperlink>
      <w:r w:rsidRPr="00C70FE5">
        <w:rPr>
          <w:rFonts w:ascii="NotoSerif" w:eastAsia="Times New Roman" w:hAnsi="NotoSerif" w:cs="Arial"/>
          <w:color w:val="333333"/>
          <w:sz w:val="26"/>
          <w:szCs w:val="26"/>
        </w:rPr>
        <w:t xml:space="preserve"> hướng dẫn xây dựng dự toán ngân sách nhà nước năm 2025 và kế hoạch tài chính - ngân sách nhà nước 03 năm 2025-2027. </w:t>
      </w:r>
      <w:proofErr w:type="gramStart"/>
      <w:r w:rsidRPr="00C70FE5">
        <w:rPr>
          <w:rFonts w:ascii="NotoSerif" w:eastAsia="Times New Roman" w:hAnsi="NotoSerif" w:cs="Arial"/>
          <w:color w:val="333333"/>
          <w:sz w:val="26"/>
          <w:szCs w:val="26"/>
        </w:rPr>
        <w:t>Thông tư có hiệu lực từ ngày 30/8/2024.</w:t>
      </w:r>
      <w:proofErr w:type="gramEnd"/>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lastRenderedPageBreak/>
        <w:t xml:space="preserve">Thông tư nêu rõ về xây dựng dự toán </w:t>
      </w:r>
      <w:proofErr w:type="gramStart"/>
      <w:r w:rsidRPr="00C70FE5">
        <w:rPr>
          <w:rFonts w:ascii="NotoSerif" w:eastAsia="Times New Roman" w:hAnsi="NotoSerif" w:cs="Arial"/>
          <w:color w:val="333333"/>
          <w:sz w:val="26"/>
          <w:szCs w:val="26"/>
        </w:rPr>
        <w:t>thu</w:t>
      </w:r>
      <w:proofErr w:type="gramEnd"/>
      <w:r w:rsidRPr="00C70FE5">
        <w:rPr>
          <w:rFonts w:ascii="NotoSerif" w:eastAsia="Times New Roman" w:hAnsi="NotoSerif" w:cs="Arial"/>
          <w:color w:val="333333"/>
          <w:sz w:val="26"/>
          <w:szCs w:val="26"/>
        </w:rPr>
        <w:t xml:space="preserve"> ngân sách nhà nước năm 2025. Theo đó, nguyên tắc chung là dự toán thu ngân sách nhà nước năm 2025 phải được xây dựng theo đúng các quy định của Luật Ngân sách nhà nước, Luật Quản lý thuế, các Luật về thuế, phí, lệ phí, các văn bản pháp luật khác có liên quan và Chỉ thị số 17/CT-TTg ngày 22 tháng 5 năm 2024 của Thủ tướng Chính phủ, đảm bảo thu đúng, thu đủ các nguồn thu của ngân sách nhà nước, phù hợp với tình hình thực hiện các năm trước và thực hiện cao nhất các mục tiêu về thu ngân sách nhà nước 5 năm giai đoạn 2021-2025…</w:t>
      </w:r>
    </w:p>
    <w:p w:rsidR="00C70FE5" w:rsidRPr="00C70FE5" w:rsidRDefault="00C70FE5" w:rsidP="00C70FE5">
      <w:pPr>
        <w:shd w:val="clear" w:color="auto" w:fill="FFFFFF"/>
        <w:jc w:val="both"/>
        <w:textAlignment w:val="top"/>
        <w:outlineLvl w:val="2"/>
        <w:rPr>
          <w:rFonts w:ascii="NotoSerif" w:eastAsia="Times New Roman" w:hAnsi="NotoSerif" w:cs="Arial"/>
          <w:color w:val="333333"/>
          <w:sz w:val="36"/>
          <w:szCs w:val="36"/>
        </w:rPr>
      </w:pPr>
      <w:r w:rsidRPr="00C70FE5">
        <w:rPr>
          <w:rFonts w:ascii="NotoSerif" w:eastAsia="Times New Roman" w:hAnsi="NotoSerif" w:cs="Arial"/>
          <w:color w:val="333333"/>
          <w:sz w:val="36"/>
          <w:szCs w:val="36"/>
        </w:rPr>
        <w:t>Quy định mới về mua, bán trái phiếu doanh nghiệp của tổ chức tín dụng</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 xml:space="preserve">Ngân hàng Nhà nước đã ban hành Thông tư 11/2024/TT-NHNN ngày 28/6/2024 sửa đổi, bổ sung một số điều của Thông tư số 16/2021/TT-NHNN quy định việc tổ chức tín dụng, chi nhánh ngân hàng nước ngoài mua, bán trái phiếu doanh nghiệp. </w:t>
      </w:r>
      <w:proofErr w:type="gramStart"/>
      <w:r w:rsidRPr="00C70FE5">
        <w:rPr>
          <w:rFonts w:ascii="NotoSerif" w:eastAsia="Times New Roman" w:hAnsi="NotoSerif" w:cs="Arial"/>
          <w:color w:val="333333"/>
          <w:sz w:val="26"/>
          <w:szCs w:val="26"/>
        </w:rPr>
        <w:t>Thông tư này có hiệu lực từ ngày 12/8/2024.</w:t>
      </w:r>
      <w:proofErr w:type="gramEnd"/>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 xml:space="preserve">Thông tư 11/2024/TT-NHNN bổ sung khoản 14 vào Điều 4 về nguyên tắc mua, bán trái phiếu doanh nghiệp: Doanh nghiệp phát hành phải gửi cho tổ chức tín dụng thông tin về người có liên quan theo quy định tại Luật Các tổ chức tín dụng trước thời điểm tổ chức tín dụng mua trái phiếu doanh nghiệp. Người có liên quan của doanh nghiệp phát hành là tổ chức, cá nhân có quan hệ với doanh nghiệp phát hành </w:t>
      </w:r>
      <w:proofErr w:type="gramStart"/>
      <w:r w:rsidRPr="00C70FE5">
        <w:rPr>
          <w:rFonts w:ascii="NotoSerif" w:eastAsia="Times New Roman" w:hAnsi="NotoSerif" w:cs="Arial"/>
          <w:color w:val="333333"/>
          <w:sz w:val="26"/>
          <w:szCs w:val="26"/>
        </w:rPr>
        <w:t>theo</w:t>
      </w:r>
      <w:proofErr w:type="gramEnd"/>
      <w:r w:rsidRPr="00C70FE5">
        <w:rPr>
          <w:rFonts w:ascii="NotoSerif" w:eastAsia="Times New Roman" w:hAnsi="NotoSerif" w:cs="Arial"/>
          <w:color w:val="333333"/>
          <w:sz w:val="26"/>
          <w:szCs w:val="26"/>
        </w:rPr>
        <w:t xml:space="preserve"> quy định tại khoản 24 Điều 4 Luật Các tổ chức tín dụng.</w:t>
      </w:r>
    </w:p>
    <w:p w:rsidR="00C70FE5" w:rsidRPr="00C70FE5" w:rsidRDefault="00C70FE5" w:rsidP="00C70FE5">
      <w:pPr>
        <w:shd w:val="clear" w:color="auto" w:fill="FFFFFF"/>
        <w:jc w:val="both"/>
        <w:textAlignment w:val="top"/>
        <w:outlineLvl w:val="2"/>
        <w:rPr>
          <w:rFonts w:ascii="NotoSerif" w:eastAsia="Times New Roman" w:hAnsi="NotoSerif" w:cs="Arial"/>
          <w:color w:val="333333"/>
          <w:sz w:val="36"/>
          <w:szCs w:val="36"/>
        </w:rPr>
      </w:pPr>
      <w:r w:rsidRPr="00C70FE5">
        <w:rPr>
          <w:rFonts w:ascii="NotoSerif" w:eastAsia="Times New Roman" w:hAnsi="NotoSerif" w:cs="Arial"/>
          <w:color w:val="333333"/>
          <w:sz w:val="36"/>
          <w:szCs w:val="36"/>
        </w:rPr>
        <w:t>Sửa quy định về giới hạn cho vay của quỹ tín dụng nhân dân</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 xml:space="preserve">Ngân hàng Nhà nước đã ban hành Thông tư 13/2024/TT-NHNN ngày 28/6/2024 sửa đổi, bổ sung một số điều của Thông tư số 32/2015/TT-NHNN quy định các giới hạn, tỷ lệ bảo đảm </w:t>
      </w:r>
      <w:proofErr w:type="gramStart"/>
      <w:r w:rsidRPr="00C70FE5">
        <w:rPr>
          <w:rFonts w:ascii="NotoSerif" w:eastAsia="Times New Roman" w:hAnsi="NotoSerif" w:cs="Arial"/>
          <w:color w:val="333333"/>
          <w:sz w:val="26"/>
          <w:szCs w:val="26"/>
        </w:rPr>
        <w:t>an</w:t>
      </w:r>
      <w:proofErr w:type="gramEnd"/>
      <w:r w:rsidRPr="00C70FE5">
        <w:rPr>
          <w:rFonts w:ascii="NotoSerif" w:eastAsia="Times New Roman" w:hAnsi="NotoSerif" w:cs="Arial"/>
          <w:color w:val="333333"/>
          <w:sz w:val="26"/>
          <w:szCs w:val="26"/>
        </w:rPr>
        <w:t xml:space="preserve"> toàn trong hoạt động của quỹ tín dụng nhân dân. </w:t>
      </w:r>
      <w:proofErr w:type="gramStart"/>
      <w:r w:rsidRPr="00C70FE5">
        <w:rPr>
          <w:rFonts w:ascii="NotoSerif" w:eastAsia="Times New Roman" w:hAnsi="NotoSerif" w:cs="Arial"/>
          <w:color w:val="333333"/>
          <w:sz w:val="26"/>
          <w:szCs w:val="26"/>
        </w:rPr>
        <w:t>Thông tư này có hiệu lực từ ngày 12/8/2024.</w:t>
      </w:r>
      <w:proofErr w:type="gramEnd"/>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 xml:space="preserve">Thông tư 13/2024/TT-NHNN sửa đổi, bổ sung Điều 8 về hạn chế, giới hạn cho vay của quỹ tín dụng nhân dân. Cụ thể, quỹ tín dụng nhân dân căn cứ vốn tự có được xác định tại cuối ngày làm việc gần nhất để xác định: Hạn chế cho vay đối với tổ chức, cá nhân theo quy định tại Điều 135 Luật Các tổ chức tín dụng năm 2024; Giới hạn cho </w:t>
      </w:r>
      <w:r w:rsidRPr="00C70FE5">
        <w:rPr>
          <w:rFonts w:ascii="NotoSerif" w:eastAsia="Times New Roman" w:hAnsi="NotoSerif" w:cs="Arial"/>
          <w:color w:val="333333"/>
          <w:sz w:val="26"/>
          <w:szCs w:val="26"/>
        </w:rPr>
        <w:lastRenderedPageBreak/>
        <w:t>vay đối với một khách hàng, một khách hàng và người có liên quan của khách hàng theo quy định tại Điều 136 Luật Các tổ chức tín dụng năm 2024…</w:t>
      </w:r>
    </w:p>
    <w:p w:rsidR="00C70FE5" w:rsidRPr="00C70FE5" w:rsidRDefault="00C70FE5" w:rsidP="00C70FE5">
      <w:pPr>
        <w:shd w:val="clear" w:color="auto" w:fill="FFFFFF"/>
        <w:jc w:val="both"/>
        <w:textAlignment w:val="top"/>
        <w:outlineLvl w:val="2"/>
        <w:rPr>
          <w:rFonts w:ascii="NotoSerif" w:eastAsia="Times New Roman" w:hAnsi="NotoSerif" w:cs="Arial"/>
          <w:color w:val="333333"/>
          <w:sz w:val="36"/>
          <w:szCs w:val="36"/>
        </w:rPr>
      </w:pPr>
      <w:r w:rsidRPr="00C70FE5">
        <w:rPr>
          <w:rFonts w:ascii="NotoSerif" w:eastAsia="Times New Roman" w:hAnsi="NotoSerif" w:cs="Arial"/>
          <w:color w:val="333333"/>
          <w:sz w:val="36"/>
          <w:szCs w:val="36"/>
        </w:rPr>
        <w:t>Sửa quy định về đầu tư gián tiếp ra nước ngoài</w:t>
      </w:r>
    </w:p>
    <w:p w:rsidR="00C70FE5" w:rsidRPr="00C70FE5" w:rsidRDefault="00C70FE5" w:rsidP="00C70FE5">
      <w:pPr>
        <w:shd w:val="clear" w:color="auto" w:fill="FFFFFF"/>
        <w:spacing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Ngày 28/6/2024, Ngân hàng Nhà nước đã ban hành Thông tư </w:t>
      </w:r>
      <w:hyperlink r:id="rId14" w:tgtFrame="_blank" w:tooltip="23/2024/TT-NHNN" w:history="1">
        <w:r w:rsidRPr="00C70FE5">
          <w:rPr>
            <w:rFonts w:ascii="NotoSerif" w:eastAsia="Times New Roman" w:hAnsi="NotoSerif" w:cs="Arial"/>
            <w:color w:val="0000FF"/>
            <w:sz w:val="26"/>
            <w:szCs w:val="26"/>
            <w:u w:val="single"/>
          </w:rPr>
          <w:t>23/2024/TT-NHNN</w:t>
        </w:r>
      </w:hyperlink>
      <w:r w:rsidRPr="00C70FE5">
        <w:rPr>
          <w:rFonts w:ascii="NotoSerif" w:eastAsia="Times New Roman" w:hAnsi="NotoSerif" w:cs="Arial"/>
          <w:color w:val="333333"/>
          <w:sz w:val="26"/>
          <w:szCs w:val="26"/>
        </w:rPr>
        <w:t xml:space="preserve"> sửa đổi, bổ sung một số điều của Thông tư số 10/2016/TT-NHNN ngày 29/6/2016 hướng dẫn một số nội dung quy định tại Nghị định số 135/2015/NĐ-CP ngày 31/12/2015 của Chính phủ quy định về đầu tư gián tiếp ra nước ngoài. </w:t>
      </w:r>
      <w:proofErr w:type="gramStart"/>
      <w:r w:rsidRPr="00C70FE5">
        <w:rPr>
          <w:rFonts w:ascii="NotoSerif" w:eastAsia="Times New Roman" w:hAnsi="NotoSerif" w:cs="Arial"/>
          <w:color w:val="333333"/>
          <w:sz w:val="26"/>
          <w:szCs w:val="26"/>
        </w:rPr>
        <w:t>Thông tư này có hiệu lực từ ngày 12/8/2024.</w:t>
      </w:r>
      <w:proofErr w:type="gramEnd"/>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Thông tư sửa đổi, bổ sung Điều 8 về nguyên tắc thực hiện chương trình thưởng cổ phiếu phát hành ở nước ngoài. Theo đó, việc thực hiện chương trình thưởng cổ phiếu phát hành ở nước ngoài phải đảm bảo các nguyên tắc sau:</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 xml:space="preserve">Chương trình thưởng cổ phiếu phát hành ở nước ngoài có đối tượng tham gia là người </w:t>
      </w:r>
      <w:proofErr w:type="gramStart"/>
      <w:r w:rsidRPr="00C70FE5">
        <w:rPr>
          <w:rFonts w:ascii="NotoSerif" w:eastAsia="Times New Roman" w:hAnsi="NotoSerif" w:cs="Arial"/>
          <w:color w:val="333333"/>
          <w:sz w:val="26"/>
          <w:szCs w:val="26"/>
        </w:rPr>
        <w:t>lao</w:t>
      </w:r>
      <w:proofErr w:type="gramEnd"/>
      <w:r w:rsidRPr="00C70FE5">
        <w:rPr>
          <w:rFonts w:ascii="NotoSerif" w:eastAsia="Times New Roman" w:hAnsi="NotoSerif" w:cs="Arial"/>
          <w:color w:val="333333"/>
          <w:sz w:val="26"/>
          <w:szCs w:val="26"/>
        </w:rPr>
        <w:t xml:space="preserve"> động có quốc tịch Việt Nam chỉ được thực hiện thông qua tổ chức thực hiện chương trình thưởng cổ phiếu.</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 xml:space="preserve">Ngoại tệ </w:t>
      </w:r>
      <w:proofErr w:type="gramStart"/>
      <w:r w:rsidRPr="00C70FE5">
        <w:rPr>
          <w:rFonts w:ascii="NotoSerif" w:eastAsia="Times New Roman" w:hAnsi="NotoSerif" w:cs="Arial"/>
          <w:color w:val="333333"/>
          <w:sz w:val="26"/>
          <w:szCs w:val="26"/>
        </w:rPr>
        <w:t>thu</w:t>
      </w:r>
      <w:proofErr w:type="gramEnd"/>
      <w:r w:rsidRPr="00C70FE5">
        <w:rPr>
          <w:rFonts w:ascii="NotoSerif" w:eastAsia="Times New Roman" w:hAnsi="NotoSerif" w:cs="Arial"/>
          <w:color w:val="333333"/>
          <w:sz w:val="26"/>
          <w:szCs w:val="26"/>
        </w:rPr>
        <w:t xml:space="preserve"> được từ cổ tức và các thu nhập hợp pháp khác liên quan đến chương trình thưởng cổ phiếu phát hành ở nước ngoài phải chuyển cho người lao động có quốc tịch Việt Nam thông qua tài khoản thực hiện chương trình quy định tại Điều 12 Thông tư này.</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 xml:space="preserve">Tuân thủ các quy định về quản lý ngoại hối, nghĩa vụ nộp thuế </w:t>
      </w:r>
      <w:proofErr w:type="gramStart"/>
      <w:r w:rsidRPr="00C70FE5">
        <w:rPr>
          <w:rFonts w:ascii="NotoSerif" w:eastAsia="Times New Roman" w:hAnsi="NotoSerif" w:cs="Arial"/>
          <w:color w:val="333333"/>
          <w:sz w:val="26"/>
          <w:szCs w:val="26"/>
        </w:rPr>
        <w:t>thu</w:t>
      </w:r>
      <w:proofErr w:type="gramEnd"/>
      <w:r w:rsidRPr="00C70FE5">
        <w:rPr>
          <w:rFonts w:ascii="NotoSerif" w:eastAsia="Times New Roman" w:hAnsi="NotoSerif" w:cs="Arial"/>
          <w:color w:val="333333"/>
          <w:sz w:val="26"/>
          <w:szCs w:val="26"/>
        </w:rPr>
        <w:t xml:space="preserve"> nhập và các quy định khác có liên quan của pháp luật Việt Nam.</w:t>
      </w:r>
    </w:p>
    <w:p w:rsidR="00C70FE5" w:rsidRPr="00C70FE5" w:rsidRDefault="00C70FE5" w:rsidP="00C70FE5">
      <w:pPr>
        <w:shd w:val="clear" w:color="auto" w:fill="FFFFFF"/>
        <w:jc w:val="both"/>
        <w:textAlignment w:val="top"/>
        <w:outlineLvl w:val="2"/>
        <w:rPr>
          <w:rFonts w:ascii="NotoSerif" w:eastAsia="Times New Roman" w:hAnsi="NotoSerif" w:cs="Arial"/>
          <w:color w:val="333333"/>
          <w:sz w:val="36"/>
          <w:szCs w:val="36"/>
        </w:rPr>
      </w:pPr>
      <w:r w:rsidRPr="00C70FE5">
        <w:rPr>
          <w:rFonts w:ascii="NotoSerif" w:eastAsia="Times New Roman" w:hAnsi="NotoSerif" w:cs="Arial"/>
          <w:color w:val="333333"/>
          <w:sz w:val="36"/>
          <w:szCs w:val="36"/>
        </w:rPr>
        <w:t>Quy định về mạng lưới hoạt động của ngân hàng thương mại</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proofErr w:type="gramStart"/>
      <w:r w:rsidRPr="00C70FE5">
        <w:rPr>
          <w:rFonts w:ascii="NotoSerif" w:eastAsia="Times New Roman" w:hAnsi="NotoSerif" w:cs="Arial"/>
          <w:color w:val="333333"/>
          <w:sz w:val="26"/>
          <w:szCs w:val="26"/>
        </w:rPr>
        <w:t>Ngân hàng Nhà nước đã ban hành Thông tư số 32/2024/TT-NHNN ngày 30/6/2024 quy định về mạng lưới hoạt động của ngân hàng thương mại.</w:t>
      </w:r>
      <w:proofErr w:type="gramEnd"/>
      <w:r w:rsidRPr="00C70FE5">
        <w:rPr>
          <w:rFonts w:ascii="NotoSerif" w:eastAsia="Times New Roman" w:hAnsi="NotoSerif" w:cs="Arial"/>
          <w:color w:val="333333"/>
          <w:sz w:val="26"/>
          <w:szCs w:val="26"/>
        </w:rPr>
        <w:t xml:space="preserve"> </w:t>
      </w:r>
      <w:proofErr w:type="gramStart"/>
      <w:r w:rsidRPr="00C70FE5">
        <w:rPr>
          <w:rFonts w:ascii="NotoSerif" w:eastAsia="Times New Roman" w:hAnsi="NotoSerif" w:cs="Arial"/>
          <w:color w:val="333333"/>
          <w:sz w:val="26"/>
          <w:szCs w:val="26"/>
        </w:rPr>
        <w:t>Thông tư có hiệu lực thi hành từ ngày 15/8/2024.</w:t>
      </w:r>
      <w:proofErr w:type="gramEnd"/>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 xml:space="preserve">Thông tư này quy định về mạng lưới hoạt động của ngân hàng thương mại, bao gồm: Thành lập, khai trương hoạt động, thay đổi tên, thay đổi địa điểm, chấm dứt hoạt động, giải thể chi nhánh, phòng giao dịch, văn phòng đại diện, đơn vị sự nghiệp ở trong nước; chi nhánh, văn phòng đại diện, ngân hàng con ở nước ngoài; thay đổi chi nhánh </w:t>
      </w:r>
      <w:r w:rsidRPr="00C70FE5">
        <w:rPr>
          <w:rFonts w:ascii="NotoSerif" w:eastAsia="Times New Roman" w:hAnsi="NotoSerif" w:cs="Arial"/>
          <w:color w:val="333333"/>
          <w:sz w:val="26"/>
          <w:szCs w:val="26"/>
        </w:rPr>
        <w:lastRenderedPageBreak/>
        <w:t>quản lý phòng giao dịch; chuyển đổi chi nhánh ở trong nước thành phòng giao dịch và ngược lại; chuyển đổi hình thức pháp lý ngân hàng con ở nước ngoài của ngân hàng thương mại./.</w:t>
      </w:r>
    </w:p>
    <w:p w:rsidR="00C70FE5" w:rsidRPr="00C70FE5" w:rsidRDefault="00C70FE5" w:rsidP="00C70FE5">
      <w:pPr>
        <w:shd w:val="clear" w:color="auto" w:fill="FFFFFF"/>
        <w:spacing w:before="90"/>
        <w:jc w:val="right"/>
        <w:textAlignment w:val="top"/>
        <w:outlineLvl w:val="3"/>
        <w:rPr>
          <w:rFonts w:ascii="inherit" w:eastAsia="Times New Roman" w:hAnsi="inherit" w:cs="Arial"/>
          <w:b/>
          <w:bCs/>
          <w:color w:val="333333"/>
          <w:sz w:val="21"/>
          <w:szCs w:val="21"/>
        </w:rPr>
      </w:pPr>
      <w:proofErr w:type="gramStart"/>
      <w:r w:rsidRPr="00C70FE5">
        <w:rPr>
          <w:rFonts w:ascii="inherit" w:eastAsia="Times New Roman" w:hAnsi="inherit" w:cs="Arial"/>
          <w:b/>
          <w:bCs/>
          <w:color w:val="333333"/>
          <w:sz w:val="21"/>
          <w:szCs w:val="21"/>
        </w:rPr>
        <w:t>link :</w:t>
      </w:r>
      <w:proofErr w:type="gramEnd"/>
      <w:r w:rsidRPr="00C70FE5">
        <w:rPr>
          <w:rFonts w:ascii="inherit" w:eastAsia="Times New Roman" w:hAnsi="inherit" w:cs="Arial"/>
          <w:b/>
          <w:bCs/>
          <w:color w:val="333333"/>
          <w:sz w:val="21"/>
          <w:szCs w:val="21"/>
        </w:rPr>
        <w:t xml:space="preserve"> https://baochinhphu.vn/chinh-sach-moi-co-hieu-luc-tu-thang-8-2024-102240801111116963.htm</w:t>
      </w:r>
    </w:p>
    <w:p w:rsidR="00C70FE5" w:rsidRPr="00C70FE5" w:rsidRDefault="00C70FE5" w:rsidP="00C70FE5">
      <w:pPr>
        <w:shd w:val="clear" w:color="auto" w:fill="FFFFFF"/>
        <w:spacing w:before="150" w:after="150"/>
        <w:textAlignment w:val="top"/>
        <w:rPr>
          <w:rFonts w:ascii="Arial" w:eastAsia="Times New Roman" w:hAnsi="Arial" w:cs="Arial"/>
          <w:color w:val="333333"/>
          <w:sz w:val="21"/>
          <w:szCs w:val="21"/>
        </w:rPr>
      </w:pPr>
      <w:r w:rsidRPr="00C70FE5">
        <w:rPr>
          <w:rFonts w:ascii="Arial" w:eastAsia="Times New Roman" w:hAnsi="Arial" w:cs="Arial"/>
          <w:color w:val="333333"/>
          <w:sz w:val="21"/>
          <w:szCs w:val="21"/>
        </w:rPr>
        <w:pict>
          <v:rect id="_x0000_i1025" style="width:0;height:0" o:hralign="center" o:hrstd="t" o:hrnoshade="t" o:hr="t" fillcolor="#039" stroked="f"/>
        </w:pict>
      </w:r>
    </w:p>
    <w:sectPr w:rsidR="00C70FE5" w:rsidRPr="00C70FE5" w:rsidSect="0074703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Serif">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4172D"/>
    <w:multiLevelType w:val="multilevel"/>
    <w:tmpl w:val="BAA0F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916C2A"/>
    <w:multiLevelType w:val="multilevel"/>
    <w:tmpl w:val="AAD2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017B7B"/>
    <w:multiLevelType w:val="multilevel"/>
    <w:tmpl w:val="C2A0E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784364"/>
    <w:multiLevelType w:val="multilevel"/>
    <w:tmpl w:val="3F864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6174A2"/>
    <w:multiLevelType w:val="multilevel"/>
    <w:tmpl w:val="7A34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D80A61"/>
    <w:multiLevelType w:val="multilevel"/>
    <w:tmpl w:val="9782E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8E1935"/>
    <w:multiLevelType w:val="multilevel"/>
    <w:tmpl w:val="63AE6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A2628A"/>
    <w:multiLevelType w:val="multilevel"/>
    <w:tmpl w:val="04081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032F92"/>
    <w:multiLevelType w:val="multilevel"/>
    <w:tmpl w:val="5B92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7"/>
  </w:num>
  <w:num w:numId="4">
    <w:abstractNumId w:val="0"/>
  </w:num>
  <w:num w:numId="5">
    <w:abstractNumId w:val="3"/>
  </w:num>
  <w:num w:numId="6">
    <w:abstractNumId w:val="5"/>
  </w:num>
  <w:num w:numId="7">
    <w:abstractNumId w:val="8"/>
  </w:num>
  <w:num w:numId="8">
    <w:abstractNumId w:val="4"/>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FE5"/>
    <w:rsid w:val="006747EB"/>
    <w:rsid w:val="00747037"/>
    <w:rsid w:val="00BA3A47"/>
    <w:rsid w:val="00C70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70FE5"/>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C70FE5"/>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70FE5"/>
    <w:rPr>
      <w:rFonts w:eastAsia="Times New Roman" w:cs="Times New Roman"/>
      <w:b/>
      <w:bCs/>
      <w:sz w:val="27"/>
      <w:szCs w:val="27"/>
    </w:rPr>
  </w:style>
  <w:style w:type="character" w:customStyle="1" w:styleId="Heading4Char">
    <w:name w:val="Heading 4 Char"/>
    <w:basedOn w:val="DefaultParagraphFont"/>
    <w:link w:val="Heading4"/>
    <w:uiPriority w:val="9"/>
    <w:rsid w:val="00C70FE5"/>
    <w:rPr>
      <w:rFonts w:eastAsia="Times New Roman" w:cs="Times New Roman"/>
      <w:b/>
      <w:bCs/>
      <w:sz w:val="24"/>
      <w:szCs w:val="24"/>
    </w:rPr>
  </w:style>
  <w:style w:type="character" w:styleId="Hyperlink">
    <w:name w:val="Hyperlink"/>
    <w:basedOn w:val="DefaultParagraphFont"/>
    <w:uiPriority w:val="99"/>
    <w:semiHidden/>
    <w:unhideWhenUsed/>
    <w:rsid w:val="00C70FE5"/>
    <w:rPr>
      <w:color w:val="0000FF"/>
      <w:u w:val="single"/>
    </w:rPr>
  </w:style>
  <w:style w:type="paragraph" w:customStyle="1" w:styleId="lead">
    <w:name w:val="lead"/>
    <w:basedOn w:val="Normal"/>
    <w:rsid w:val="00C70FE5"/>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C70FE5"/>
    <w:pPr>
      <w:spacing w:before="100" w:beforeAutospacing="1" w:after="100" w:afterAutospacing="1"/>
    </w:pPr>
    <w:rPr>
      <w:rFonts w:eastAsia="Times New Roman" w:cs="Times New Roman"/>
      <w:sz w:val="24"/>
      <w:szCs w:val="24"/>
    </w:rPr>
  </w:style>
  <w:style w:type="character" w:customStyle="1" w:styleId="rating-bar-total">
    <w:name w:val="rating-bar-total"/>
    <w:basedOn w:val="DefaultParagraphFont"/>
    <w:rsid w:val="00C70FE5"/>
  </w:style>
  <w:style w:type="character" w:customStyle="1" w:styleId="rating-bar-avg">
    <w:name w:val="rating-bar-avg"/>
    <w:basedOn w:val="DefaultParagraphFont"/>
    <w:rsid w:val="00C70FE5"/>
  </w:style>
  <w:style w:type="character" w:customStyle="1" w:styleId="title">
    <w:name w:val="title"/>
    <w:basedOn w:val="DefaultParagraphFont"/>
    <w:rsid w:val="00C70FE5"/>
  </w:style>
  <w:style w:type="character" w:customStyle="1" w:styleId="jwtitle">
    <w:name w:val="jwtitle"/>
    <w:basedOn w:val="DefaultParagraphFont"/>
    <w:rsid w:val="00C70F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70FE5"/>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C70FE5"/>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70FE5"/>
    <w:rPr>
      <w:rFonts w:eastAsia="Times New Roman" w:cs="Times New Roman"/>
      <w:b/>
      <w:bCs/>
      <w:sz w:val="27"/>
      <w:szCs w:val="27"/>
    </w:rPr>
  </w:style>
  <w:style w:type="character" w:customStyle="1" w:styleId="Heading4Char">
    <w:name w:val="Heading 4 Char"/>
    <w:basedOn w:val="DefaultParagraphFont"/>
    <w:link w:val="Heading4"/>
    <w:uiPriority w:val="9"/>
    <w:rsid w:val="00C70FE5"/>
    <w:rPr>
      <w:rFonts w:eastAsia="Times New Roman" w:cs="Times New Roman"/>
      <w:b/>
      <w:bCs/>
      <w:sz w:val="24"/>
      <w:szCs w:val="24"/>
    </w:rPr>
  </w:style>
  <w:style w:type="character" w:styleId="Hyperlink">
    <w:name w:val="Hyperlink"/>
    <w:basedOn w:val="DefaultParagraphFont"/>
    <w:uiPriority w:val="99"/>
    <w:semiHidden/>
    <w:unhideWhenUsed/>
    <w:rsid w:val="00C70FE5"/>
    <w:rPr>
      <w:color w:val="0000FF"/>
      <w:u w:val="single"/>
    </w:rPr>
  </w:style>
  <w:style w:type="paragraph" w:customStyle="1" w:styleId="lead">
    <w:name w:val="lead"/>
    <w:basedOn w:val="Normal"/>
    <w:rsid w:val="00C70FE5"/>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C70FE5"/>
    <w:pPr>
      <w:spacing w:before="100" w:beforeAutospacing="1" w:after="100" w:afterAutospacing="1"/>
    </w:pPr>
    <w:rPr>
      <w:rFonts w:eastAsia="Times New Roman" w:cs="Times New Roman"/>
      <w:sz w:val="24"/>
      <w:szCs w:val="24"/>
    </w:rPr>
  </w:style>
  <w:style w:type="character" w:customStyle="1" w:styleId="rating-bar-total">
    <w:name w:val="rating-bar-total"/>
    <w:basedOn w:val="DefaultParagraphFont"/>
    <w:rsid w:val="00C70FE5"/>
  </w:style>
  <w:style w:type="character" w:customStyle="1" w:styleId="rating-bar-avg">
    <w:name w:val="rating-bar-avg"/>
    <w:basedOn w:val="DefaultParagraphFont"/>
    <w:rsid w:val="00C70FE5"/>
  </w:style>
  <w:style w:type="character" w:customStyle="1" w:styleId="title">
    <w:name w:val="title"/>
    <w:basedOn w:val="DefaultParagraphFont"/>
    <w:rsid w:val="00C70FE5"/>
  </w:style>
  <w:style w:type="character" w:customStyle="1" w:styleId="jwtitle">
    <w:name w:val="jwtitle"/>
    <w:basedOn w:val="DefaultParagraphFont"/>
    <w:rsid w:val="00C70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455632">
      <w:bodyDiv w:val="1"/>
      <w:marLeft w:val="0"/>
      <w:marRight w:val="0"/>
      <w:marTop w:val="0"/>
      <w:marBottom w:val="0"/>
      <w:divBdr>
        <w:top w:val="none" w:sz="0" w:space="0" w:color="auto"/>
        <w:left w:val="none" w:sz="0" w:space="0" w:color="auto"/>
        <w:bottom w:val="none" w:sz="0" w:space="0" w:color="auto"/>
        <w:right w:val="none" w:sz="0" w:space="0" w:color="auto"/>
      </w:divBdr>
      <w:divsChild>
        <w:div w:id="1432624433">
          <w:marLeft w:val="0"/>
          <w:marRight w:val="0"/>
          <w:marTop w:val="0"/>
          <w:marBottom w:val="0"/>
          <w:divBdr>
            <w:top w:val="none" w:sz="0" w:space="0" w:color="auto"/>
            <w:left w:val="none" w:sz="0" w:space="0" w:color="auto"/>
            <w:bottom w:val="none" w:sz="0" w:space="0" w:color="auto"/>
            <w:right w:val="none" w:sz="0" w:space="0" w:color="auto"/>
          </w:divBdr>
          <w:divsChild>
            <w:div w:id="634800629">
              <w:marLeft w:val="0"/>
              <w:marRight w:val="0"/>
              <w:marTop w:val="0"/>
              <w:marBottom w:val="0"/>
              <w:divBdr>
                <w:top w:val="none" w:sz="0" w:space="0" w:color="auto"/>
                <w:left w:val="none" w:sz="0" w:space="0" w:color="auto"/>
                <w:bottom w:val="none" w:sz="0" w:space="0" w:color="auto"/>
                <w:right w:val="none" w:sz="0" w:space="0" w:color="auto"/>
              </w:divBdr>
              <w:divsChild>
                <w:div w:id="1362629648">
                  <w:marLeft w:val="-150"/>
                  <w:marRight w:val="-150"/>
                  <w:marTop w:val="0"/>
                  <w:marBottom w:val="0"/>
                  <w:divBdr>
                    <w:top w:val="none" w:sz="0" w:space="0" w:color="auto"/>
                    <w:left w:val="none" w:sz="0" w:space="0" w:color="auto"/>
                    <w:bottom w:val="none" w:sz="0" w:space="0" w:color="auto"/>
                    <w:right w:val="none" w:sz="0" w:space="0" w:color="auto"/>
                  </w:divBdr>
                  <w:divsChild>
                    <w:div w:id="1392074641">
                      <w:marLeft w:val="0"/>
                      <w:marRight w:val="0"/>
                      <w:marTop w:val="0"/>
                      <w:marBottom w:val="0"/>
                      <w:divBdr>
                        <w:top w:val="none" w:sz="0" w:space="0" w:color="auto"/>
                        <w:left w:val="none" w:sz="0" w:space="0" w:color="auto"/>
                        <w:bottom w:val="none" w:sz="0" w:space="0" w:color="auto"/>
                        <w:right w:val="none" w:sz="0" w:space="0" w:color="auto"/>
                      </w:divBdr>
                      <w:divsChild>
                        <w:div w:id="1482384066">
                          <w:marLeft w:val="0"/>
                          <w:marRight w:val="0"/>
                          <w:marTop w:val="0"/>
                          <w:marBottom w:val="0"/>
                          <w:divBdr>
                            <w:top w:val="none" w:sz="0" w:space="0" w:color="auto"/>
                            <w:left w:val="none" w:sz="0" w:space="0" w:color="auto"/>
                            <w:bottom w:val="none" w:sz="0" w:space="0" w:color="auto"/>
                            <w:right w:val="none" w:sz="0" w:space="0" w:color="auto"/>
                          </w:divBdr>
                          <w:divsChild>
                            <w:div w:id="323243186">
                              <w:marLeft w:val="0"/>
                              <w:marRight w:val="0"/>
                              <w:marTop w:val="0"/>
                              <w:marBottom w:val="0"/>
                              <w:divBdr>
                                <w:top w:val="none" w:sz="0" w:space="0" w:color="auto"/>
                                <w:left w:val="none" w:sz="0" w:space="0" w:color="auto"/>
                                <w:bottom w:val="none" w:sz="0" w:space="0" w:color="auto"/>
                                <w:right w:val="none" w:sz="0" w:space="0" w:color="auto"/>
                              </w:divBdr>
                              <w:divsChild>
                                <w:div w:id="1211724787">
                                  <w:marLeft w:val="0"/>
                                  <w:marRight w:val="0"/>
                                  <w:marTop w:val="75"/>
                                  <w:marBottom w:val="75"/>
                                  <w:divBdr>
                                    <w:top w:val="none" w:sz="0" w:space="0" w:color="auto"/>
                                    <w:left w:val="none" w:sz="0" w:space="0" w:color="auto"/>
                                    <w:bottom w:val="none" w:sz="0" w:space="0" w:color="auto"/>
                                    <w:right w:val="none" w:sz="0" w:space="0" w:color="auto"/>
                                  </w:divBdr>
                                  <w:divsChild>
                                    <w:div w:id="1746873142">
                                      <w:marLeft w:val="0"/>
                                      <w:marRight w:val="0"/>
                                      <w:marTop w:val="0"/>
                                      <w:marBottom w:val="0"/>
                                      <w:divBdr>
                                        <w:top w:val="none" w:sz="0" w:space="0" w:color="auto"/>
                                        <w:left w:val="none" w:sz="0" w:space="0" w:color="auto"/>
                                        <w:bottom w:val="none" w:sz="0" w:space="0" w:color="auto"/>
                                        <w:right w:val="none" w:sz="0" w:space="0" w:color="auto"/>
                                      </w:divBdr>
                                      <w:divsChild>
                                        <w:div w:id="207305014">
                                          <w:marLeft w:val="0"/>
                                          <w:marRight w:val="0"/>
                                          <w:marTop w:val="0"/>
                                          <w:marBottom w:val="0"/>
                                          <w:divBdr>
                                            <w:top w:val="none" w:sz="0" w:space="0" w:color="auto"/>
                                            <w:left w:val="none" w:sz="0" w:space="0" w:color="auto"/>
                                            <w:bottom w:val="none" w:sz="0" w:space="0" w:color="auto"/>
                                            <w:right w:val="none" w:sz="0" w:space="0" w:color="auto"/>
                                          </w:divBdr>
                                          <w:divsChild>
                                            <w:div w:id="131097403">
                                              <w:marLeft w:val="0"/>
                                              <w:marRight w:val="0"/>
                                              <w:marTop w:val="150"/>
                                              <w:marBottom w:val="300"/>
                                              <w:divBdr>
                                                <w:top w:val="none" w:sz="0" w:space="0" w:color="auto"/>
                                                <w:left w:val="none" w:sz="0" w:space="0" w:color="auto"/>
                                                <w:bottom w:val="single" w:sz="6" w:space="7" w:color="EEEEEE"/>
                                                <w:right w:val="none" w:sz="0" w:space="0" w:color="auto"/>
                                              </w:divBdr>
                                              <w:divsChild>
                                                <w:div w:id="1788353525">
                                                  <w:marLeft w:val="0"/>
                                                  <w:marRight w:val="0"/>
                                                  <w:marTop w:val="0"/>
                                                  <w:marBottom w:val="0"/>
                                                  <w:divBdr>
                                                    <w:top w:val="none" w:sz="0" w:space="0" w:color="auto"/>
                                                    <w:left w:val="none" w:sz="0" w:space="0" w:color="auto"/>
                                                    <w:bottom w:val="none" w:sz="0" w:space="0" w:color="auto"/>
                                                    <w:right w:val="none" w:sz="0" w:space="0" w:color="auto"/>
                                                  </w:divBdr>
                                                  <w:divsChild>
                                                    <w:div w:id="4558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06723">
                                              <w:marLeft w:val="0"/>
                                              <w:marRight w:val="0"/>
                                              <w:marTop w:val="0"/>
                                              <w:marBottom w:val="0"/>
                                              <w:divBdr>
                                                <w:top w:val="none" w:sz="0" w:space="0" w:color="auto"/>
                                                <w:left w:val="none" w:sz="0" w:space="0" w:color="auto"/>
                                                <w:bottom w:val="none" w:sz="0" w:space="0" w:color="auto"/>
                                                <w:right w:val="none" w:sz="0" w:space="0" w:color="auto"/>
                                              </w:divBdr>
                                            </w:div>
                                          </w:divsChild>
                                        </w:div>
                                        <w:div w:id="1818643515">
                                          <w:marLeft w:val="0"/>
                                          <w:marRight w:val="0"/>
                                          <w:marTop w:val="0"/>
                                          <w:marBottom w:val="0"/>
                                          <w:divBdr>
                                            <w:top w:val="none" w:sz="0" w:space="0" w:color="auto"/>
                                            <w:left w:val="none" w:sz="0" w:space="0" w:color="auto"/>
                                            <w:bottom w:val="none" w:sz="0" w:space="0" w:color="auto"/>
                                            <w:right w:val="none" w:sz="0" w:space="0" w:color="auto"/>
                                          </w:divBdr>
                                        </w:div>
                                        <w:div w:id="4826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88200">
                                  <w:marLeft w:val="0"/>
                                  <w:marRight w:val="0"/>
                                  <w:marTop w:val="75"/>
                                  <w:marBottom w:val="75"/>
                                  <w:divBdr>
                                    <w:top w:val="none" w:sz="0" w:space="0" w:color="auto"/>
                                    <w:left w:val="none" w:sz="0" w:space="0" w:color="auto"/>
                                    <w:bottom w:val="none" w:sz="0" w:space="0" w:color="auto"/>
                                    <w:right w:val="none" w:sz="0" w:space="0" w:color="auto"/>
                                  </w:divBdr>
                                  <w:divsChild>
                                    <w:div w:id="1816875907">
                                      <w:marLeft w:val="0"/>
                                      <w:marRight w:val="0"/>
                                      <w:marTop w:val="150"/>
                                      <w:marBottom w:val="150"/>
                                      <w:divBdr>
                                        <w:top w:val="none" w:sz="0" w:space="0" w:color="auto"/>
                                        <w:left w:val="none" w:sz="0" w:space="0" w:color="auto"/>
                                        <w:bottom w:val="none" w:sz="0" w:space="0" w:color="auto"/>
                                        <w:right w:val="none" w:sz="0" w:space="0" w:color="auto"/>
                                      </w:divBdr>
                                      <w:divsChild>
                                        <w:div w:id="1265266753">
                                          <w:marLeft w:val="0"/>
                                          <w:marRight w:val="0"/>
                                          <w:marTop w:val="0"/>
                                          <w:marBottom w:val="0"/>
                                          <w:divBdr>
                                            <w:top w:val="none" w:sz="0" w:space="0" w:color="auto"/>
                                            <w:left w:val="none" w:sz="0" w:space="0" w:color="auto"/>
                                            <w:bottom w:val="single" w:sz="12" w:space="0" w:color="EBEBEB"/>
                                            <w:right w:val="none" w:sz="0" w:space="0" w:color="auto"/>
                                          </w:divBdr>
                                        </w:div>
                                        <w:div w:id="1912695204">
                                          <w:marLeft w:val="0"/>
                                          <w:marRight w:val="0"/>
                                          <w:marTop w:val="0"/>
                                          <w:marBottom w:val="0"/>
                                          <w:divBdr>
                                            <w:top w:val="none" w:sz="0" w:space="0" w:color="auto"/>
                                            <w:left w:val="none" w:sz="0" w:space="0" w:color="auto"/>
                                            <w:bottom w:val="none" w:sz="0" w:space="0" w:color="auto"/>
                                            <w:right w:val="none" w:sz="0" w:space="0" w:color="auto"/>
                                          </w:divBdr>
                                          <w:divsChild>
                                            <w:div w:id="617953754">
                                              <w:marLeft w:val="0"/>
                                              <w:marRight w:val="0"/>
                                              <w:marTop w:val="0"/>
                                              <w:marBottom w:val="0"/>
                                              <w:divBdr>
                                                <w:top w:val="none" w:sz="0" w:space="0" w:color="auto"/>
                                                <w:left w:val="none" w:sz="0" w:space="0" w:color="auto"/>
                                                <w:bottom w:val="none" w:sz="0" w:space="0" w:color="auto"/>
                                                <w:right w:val="none" w:sz="0" w:space="0" w:color="auto"/>
                                              </w:divBdr>
                                              <w:divsChild>
                                                <w:div w:id="126395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112207">
                                      <w:marLeft w:val="0"/>
                                      <w:marRight w:val="0"/>
                                      <w:marTop w:val="150"/>
                                      <w:marBottom w:val="150"/>
                                      <w:divBdr>
                                        <w:top w:val="none" w:sz="0" w:space="0" w:color="auto"/>
                                        <w:left w:val="none" w:sz="0" w:space="0" w:color="auto"/>
                                        <w:bottom w:val="none" w:sz="0" w:space="0" w:color="auto"/>
                                        <w:right w:val="none" w:sz="0" w:space="0" w:color="auto"/>
                                      </w:divBdr>
                                      <w:divsChild>
                                        <w:div w:id="2088578566">
                                          <w:marLeft w:val="0"/>
                                          <w:marRight w:val="0"/>
                                          <w:marTop w:val="0"/>
                                          <w:marBottom w:val="0"/>
                                          <w:divBdr>
                                            <w:top w:val="none" w:sz="0" w:space="0" w:color="auto"/>
                                            <w:left w:val="none" w:sz="0" w:space="0" w:color="auto"/>
                                            <w:bottom w:val="none" w:sz="0" w:space="0" w:color="auto"/>
                                            <w:right w:val="none" w:sz="0" w:space="0" w:color="auto"/>
                                          </w:divBdr>
                                          <w:divsChild>
                                            <w:div w:id="368992866">
                                              <w:marLeft w:val="0"/>
                                              <w:marRight w:val="0"/>
                                              <w:marTop w:val="0"/>
                                              <w:marBottom w:val="0"/>
                                              <w:divBdr>
                                                <w:top w:val="none" w:sz="0" w:space="0" w:color="auto"/>
                                                <w:left w:val="none" w:sz="0" w:space="0" w:color="auto"/>
                                                <w:bottom w:val="none" w:sz="0" w:space="0" w:color="auto"/>
                                                <w:right w:val="none" w:sz="0" w:space="0" w:color="auto"/>
                                              </w:divBdr>
                                              <w:divsChild>
                                                <w:div w:id="728502327">
                                                  <w:marLeft w:val="0"/>
                                                  <w:marRight w:val="0"/>
                                                  <w:marTop w:val="0"/>
                                                  <w:marBottom w:val="0"/>
                                                  <w:divBdr>
                                                    <w:top w:val="none" w:sz="0" w:space="0" w:color="auto"/>
                                                    <w:left w:val="none" w:sz="0" w:space="0" w:color="auto"/>
                                                    <w:bottom w:val="none" w:sz="0" w:space="0" w:color="auto"/>
                                                    <w:right w:val="none" w:sz="0" w:space="0" w:color="auto"/>
                                                  </w:divBdr>
                                                  <w:divsChild>
                                                    <w:div w:id="1275595614">
                                                      <w:marLeft w:val="0"/>
                                                      <w:marRight w:val="0"/>
                                                      <w:marTop w:val="0"/>
                                                      <w:marBottom w:val="0"/>
                                                      <w:divBdr>
                                                        <w:top w:val="none" w:sz="0" w:space="0" w:color="auto"/>
                                                        <w:left w:val="none" w:sz="0" w:space="0" w:color="auto"/>
                                                        <w:bottom w:val="none" w:sz="0" w:space="0" w:color="auto"/>
                                                        <w:right w:val="none" w:sz="0" w:space="0" w:color="auto"/>
                                                      </w:divBdr>
                                                      <w:divsChild>
                                                        <w:div w:id="1306474312">
                                                          <w:marLeft w:val="-75"/>
                                                          <w:marRight w:val="-75"/>
                                                          <w:marTop w:val="0"/>
                                                          <w:marBottom w:val="120"/>
                                                          <w:divBdr>
                                                            <w:top w:val="none" w:sz="0" w:space="0" w:color="auto"/>
                                                            <w:left w:val="none" w:sz="0" w:space="0" w:color="auto"/>
                                                            <w:bottom w:val="none" w:sz="0" w:space="0" w:color="auto"/>
                                                            <w:right w:val="none" w:sz="0" w:space="0" w:color="auto"/>
                                                          </w:divBdr>
                                                          <w:divsChild>
                                                            <w:div w:id="204767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319007">
                                      <w:marLeft w:val="0"/>
                                      <w:marRight w:val="0"/>
                                      <w:marTop w:val="0"/>
                                      <w:marBottom w:val="0"/>
                                      <w:divBdr>
                                        <w:top w:val="none" w:sz="0" w:space="0" w:color="auto"/>
                                        <w:left w:val="none" w:sz="0" w:space="0" w:color="auto"/>
                                        <w:bottom w:val="none" w:sz="0" w:space="0" w:color="auto"/>
                                        <w:right w:val="none" w:sz="0" w:space="0" w:color="auto"/>
                                      </w:divBdr>
                                      <w:divsChild>
                                        <w:div w:id="1695883150">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791627596">
          <w:marLeft w:val="0"/>
          <w:marRight w:val="0"/>
          <w:marTop w:val="0"/>
          <w:marBottom w:val="0"/>
          <w:divBdr>
            <w:top w:val="none" w:sz="0" w:space="0" w:color="auto"/>
            <w:left w:val="none" w:sz="0" w:space="0" w:color="auto"/>
            <w:bottom w:val="none" w:sz="0" w:space="0" w:color="auto"/>
            <w:right w:val="none" w:sz="0" w:space="0" w:color="auto"/>
          </w:divBdr>
          <w:divsChild>
            <w:div w:id="329455635">
              <w:marLeft w:val="0"/>
              <w:marRight w:val="0"/>
              <w:marTop w:val="0"/>
              <w:marBottom w:val="0"/>
              <w:divBdr>
                <w:top w:val="none" w:sz="0" w:space="0" w:color="auto"/>
                <w:left w:val="none" w:sz="0" w:space="0" w:color="auto"/>
                <w:bottom w:val="none" w:sz="0" w:space="0" w:color="auto"/>
                <w:right w:val="none" w:sz="0" w:space="0" w:color="auto"/>
              </w:divBdr>
              <w:divsChild>
                <w:div w:id="16200542">
                  <w:marLeft w:val="0"/>
                  <w:marRight w:val="0"/>
                  <w:marTop w:val="120"/>
                  <w:marBottom w:val="90"/>
                  <w:divBdr>
                    <w:top w:val="none" w:sz="0" w:space="0" w:color="auto"/>
                    <w:left w:val="none" w:sz="0" w:space="0" w:color="auto"/>
                    <w:bottom w:val="none" w:sz="0" w:space="0" w:color="auto"/>
                    <w:right w:val="none" w:sz="0" w:space="0" w:color="auto"/>
                  </w:divBdr>
                  <w:divsChild>
                    <w:div w:id="617562236">
                      <w:marLeft w:val="0"/>
                      <w:marRight w:val="0"/>
                      <w:marTop w:val="0"/>
                      <w:marBottom w:val="0"/>
                      <w:divBdr>
                        <w:top w:val="none" w:sz="0" w:space="0" w:color="auto"/>
                        <w:left w:val="none" w:sz="0" w:space="0" w:color="auto"/>
                        <w:bottom w:val="none" w:sz="0" w:space="0" w:color="auto"/>
                        <w:right w:val="none" w:sz="0" w:space="0" w:color="auto"/>
                      </w:divBdr>
                      <w:divsChild>
                        <w:div w:id="137234794">
                          <w:marLeft w:val="0"/>
                          <w:marRight w:val="0"/>
                          <w:marTop w:val="0"/>
                          <w:marBottom w:val="0"/>
                          <w:divBdr>
                            <w:top w:val="none" w:sz="0" w:space="0" w:color="auto"/>
                            <w:left w:val="none" w:sz="0" w:space="0" w:color="auto"/>
                            <w:bottom w:val="none" w:sz="0" w:space="0" w:color="auto"/>
                            <w:right w:val="none" w:sz="0" w:space="0" w:color="auto"/>
                          </w:divBdr>
                          <w:divsChild>
                            <w:div w:id="2133329954">
                              <w:marLeft w:val="0"/>
                              <w:marRight w:val="0"/>
                              <w:marTop w:val="0"/>
                              <w:marBottom w:val="0"/>
                              <w:divBdr>
                                <w:top w:val="none" w:sz="0" w:space="0" w:color="auto"/>
                                <w:left w:val="none" w:sz="0" w:space="0" w:color="auto"/>
                                <w:bottom w:val="none" w:sz="0" w:space="0" w:color="auto"/>
                                <w:right w:val="none" w:sz="0" w:space="0" w:color="auto"/>
                              </w:divBdr>
                              <w:divsChild>
                                <w:div w:id="1921480936">
                                  <w:marLeft w:val="0"/>
                                  <w:marRight w:val="0"/>
                                  <w:marTop w:val="0"/>
                                  <w:marBottom w:val="0"/>
                                  <w:divBdr>
                                    <w:top w:val="none" w:sz="0" w:space="0" w:color="auto"/>
                                    <w:left w:val="none" w:sz="0" w:space="0" w:color="auto"/>
                                    <w:bottom w:val="single" w:sz="6" w:space="0" w:color="03569A"/>
                                    <w:right w:val="none" w:sz="0" w:space="0" w:color="auto"/>
                                  </w:divBdr>
                                  <w:divsChild>
                                    <w:div w:id="1904486039">
                                      <w:marLeft w:val="0"/>
                                      <w:marRight w:val="0"/>
                                      <w:marTop w:val="0"/>
                                      <w:marBottom w:val="0"/>
                                      <w:divBdr>
                                        <w:top w:val="none" w:sz="0" w:space="0" w:color="auto"/>
                                        <w:left w:val="none" w:sz="0" w:space="0" w:color="auto"/>
                                        <w:bottom w:val="none" w:sz="0" w:space="0" w:color="auto"/>
                                        <w:right w:val="none" w:sz="0" w:space="0" w:color="auto"/>
                                      </w:divBdr>
                                    </w:div>
                                  </w:divsChild>
                                </w:div>
                                <w:div w:id="2099398753">
                                  <w:marLeft w:val="0"/>
                                  <w:marRight w:val="0"/>
                                  <w:marTop w:val="0"/>
                                  <w:marBottom w:val="0"/>
                                  <w:divBdr>
                                    <w:top w:val="single" w:sz="6" w:space="0" w:color="81C6FF"/>
                                    <w:left w:val="none" w:sz="0" w:space="0" w:color="auto"/>
                                    <w:bottom w:val="single" w:sz="6" w:space="0" w:color="03569A"/>
                                    <w:right w:val="none" w:sz="0" w:space="0" w:color="auto"/>
                                  </w:divBdr>
                                  <w:divsChild>
                                    <w:div w:id="2091342023">
                                      <w:marLeft w:val="0"/>
                                      <w:marRight w:val="0"/>
                                      <w:marTop w:val="0"/>
                                      <w:marBottom w:val="0"/>
                                      <w:divBdr>
                                        <w:top w:val="none" w:sz="0" w:space="0" w:color="auto"/>
                                        <w:left w:val="none" w:sz="0" w:space="0" w:color="auto"/>
                                        <w:bottom w:val="none" w:sz="0" w:space="0" w:color="auto"/>
                                        <w:right w:val="none" w:sz="0" w:space="0" w:color="auto"/>
                                      </w:divBdr>
                                    </w:div>
                                  </w:divsChild>
                                </w:div>
                                <w:div w:id="429548624">
                                  <w:marLeft w:val="0"/>
                                  <w:marRight w:val="0"/>
                                  <w:marTop w:val="0"/>
                                  <w:marBottom w:val="0"/>
                                  <w:divBdr>
                                    <w:top w:val="single" w:sz="6" w:space="0" w:color="81C6FF"/>
                                    <w:left w:val="none" w:sz="0" w:space="0" w:color="auto"/>
                                    <w:bottom w:val="single" w:sz="6" w:space="0" w:color="03569A"/>
                                    <w:right w:val="none" w:sz="0" w:space="0" w:color="auto"/>
                                  </w:divBdr>
                                  <w:divsChild>
                                    <w:div w:id="1326713590">
                                      <w:marLeft w:val="0"/>
                                      <w:marRight w:val="0"/>
                                      <w:marTop w:val="0"/>
                                      <w:marBottom w:val="0"/>
                                      <w:divBdr>
                                        <w:top w:val="none" w:sz="0" w:space="0" w:color="auto"/>
                                        <w:left w:val="none" w:sz="0" w:space="0" w:color="auto"/>
                                        <w:bottom w:val="none" w:sz="0" w:space="0" w:color="auto"/>
                                        <w:right w:val="none" w:sz="0" w:space="0" w:color="auto"/>
                                      </w:divBdr>
                                    </w:div>
                                  </w:divsChild>
                                </w:div>
                                <w:div w:id="1326590338">
                                  <w:marLeft w:val="0"/>
                                  <w:marRight w:val="0"/>
                                  <w:marTop w:val="0"/>
                                  <w:marBottom w:val="0"/>
                                  <w:divBdr>
                                    <w:top w:val="single" w:sz="6" w:space="0" w:color="81C6FF"/>
                                    <w:left w:val="none" w:sz="0" w:space="0" w:color="auto"/>
                                    <w:bottom w:val="single" w:sz="6" w:space="0" w:color="03569A"/>
                                    <w:right w:val="none" w:sz="0" w:space="0" w:color="auto"/>
                                  </w:divBdr>
                                  <w:divsChild>
                                    <w:div w:id="1602495663">
                                      <w:marLeft w:val="0"/>
                                      <w:marRight w:val="0"/>
                                      <w:marTop w:val="0"/>
                                      <w:marBottom w:val="0"/>
                                      <w:divBdr>
                                        <w:top w:val="none" w:sz="0" w:space="0" w:color="auto"/>
                                        <w:left w:val="none" w:sz="0" w:space="0" w:color="auto"/>
                                        <w:bottom w:val="none" w:sz="0" w:space="0" w:color="auto"/>
                                        <w:right w:val="none" w:sz="0" w:space="0" w:color="auto"/>
                                      </w:divBdr>
                                      <w:divsChild>
                                        <w:div w:id="578489477">
                                          <w:marLeft w:val="0"/>
                                          <w:marRight w:val="0"/>
                                          <w:marTop w:val="0"/>
                                          <w:marBottom w:val="0"/>
                                          <w:divBdr>
                                            <w:top w:val="none" w:sz="0" w:space="0" w:color="auto"/>
                                            <w:left w:val="none" w:sz="0" w:space="0" w:color="auto"/>
                                            <w:bottom w:val="none" w:sz="0" w:space="0" w:color="auto"/>
                                            <w:right w:val="none" w:sz="0" w:space="0" w:color="auto"/>
                                          </w:divBdr>
                                          <w:divsChild>
                                            <w:div w:id="23771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231157">
                                  <w:marLeft w:val="0"/>
                                  <w:marRight w:val="0"/>
                                  <w:marTop w:val="0"/>
                                  <w:marBottom w:val="0"/>
                                  <w:divBdr>
                                    <w:top w:val="single" w:sz="6" w:space="0" w:color="81C6FF"/>
                                    <w:left w:val="none" w:sz="0" w:space="0" w:color="auto"/>
                                    <w:bottom w:val="single" w:sz="6" w:space="0" w:color="03569A"/>
                                    <w:right w:val="none" w:sz="0" w:space="0" w:color="auto"/>
                                  </w:divBdr>
                                  <w:divsChild>
                                    <w:div w:id="1438331809">
                                      <w:marLeft w:val="0"/>
                                      <w:marRight w:val="0"/>
                                      <w:marTop w:val="0"/>
                                      <w:marBottom w:val="0"/>
                                      <w:divBdr>
                                        <w:top w:val="none" w:sz="0" w:space="0" w:color="auto"/>
                                        <w:left w:val="none" w:sz="0" w:space="0" w:color="auto"/>
                                        <w:bottom w:val="none" w:sz="0" w:space="0" w:color="auto"/>
                                        <w:right w:val="none" w:sz="0" w:space="0" w:color="auto"/>
                                      </w:divBdr>
                                      <w:divsChild>
                                        <w:div w:id="970283417">
                                          <w:marLeft w:val="0"/>
                                          <w:marRight w:val="0"/>
                                          <w:marTop w:val="0"/>
                                          <w:marBottom w:val="0"/>
                                          <w:divBdr>
                                            <w:top w:val="none" w:sz="0" w:space="0" w:color="auto"/>
                                            <w:left w:val="none" w:sz="0" w:space="0" w:color="auto"/>
                                            <w:bottom w:val="none" w:sz="0" w:space="0" w:color="auto"/>
                                            <w:right w:val="none" w:sz="0" w:space="0" w:color="auto"/>
                                          </w:divBdr>
                                          <w:divsChild>
                                            <w:div w:id="56067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965128">
                                  <w:marLeft w:val="0"/>
                                  <w:marRight w:val="0"/>
                                  <w:marTop w:val="0"/>
                                  <w:marBottom w:val="0"/>
                                  <w:divBdr>
                                    <w:top w:val="single" w:sz="6" w:space="0" w:color="81C6FF"/>
                                    <w:left w:val="none" w:sz="0" w:space="0" w:color="auto"/>
                                    <w:bottom w:val="single" w:sz="6" w:space="0" w:color="03569A"/>
                                    <w:right w:val="none" w:sz="0" w:space="0" w:color="auto"/>
                                  </w:divBdr>
                                  <w:divsChild>
                                    <w:div w:id="1081560522">
                                      <w:marLeft w:val="0"/>
                                      <w:marRight w:val="0"/>
                                      <w:marTop w:val="0"/>
                                      <w:marBottom w:val="0"/>
                                      <w:divBdr>
                                        <w:top w:val="none" w:sz="0" w:space="0" w:color="auto"/>
                                        <w:left w:val="none" w:sz="0" w:space="0" w:color="auto"/>
                                        <w:bottom w:val="none" w:sz="0" w:space="0" w:color="auto"/>
                                        <w:right w:val="none" w:sz="0" w:space="0" w:color="auto"/>
                                      </w:divBdr>
                                      <w:divsChild>
                                        <w:div w:id="665550425">
                                          <w:marLeft w:val="0"/>
                                          <w:marRight w:val="0"/>
                                          <w:marTop w:val="0"/>
                                          <w:marBottom w:val="0"/>
                                          <w:divBdr>
                                            <w:top w:val="none" w:sz="0" w:space="0" w:color="auto"/>
                                            <w:left w:val="none" w:sz="0" w:space="0" w:color="auto"/>
                                            <w:bottom w:val="none" w:sz="0" w:space="0" w:color="auto"/>
                                            <w:right w:val="none" w:sz="0" w:space="0" w:color="auto"/>
                                          </w:divBdr>
                                          <w:divsChild>
                                            <w:div w:id="115764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491759">
                                  <w:marLeft w:val="0"/>
                                  <w:marRight w:val="0"/>
                                  <w:marTop w:val="0"/>
                                  <w:marBottom w:val="0"/>
                                  <w:divBdr>
                                    <w:top w:val="single" w:sz="6" w:space="0" w:color="81C6FF"/>
                                    <w:left w:val="none" w:sz="0" w:space="0" w:color="auto"/>
                                    <w:bottom w:val="single" w:sz="6" w:space="0" w:color="03569A"/>
                                    <w:right w:val="none" w:sz="0" w:space="0" w:color="auto"/>
                                  </w:divBdr>
                                  <w:divsChild>
                                    <w:div w:id="946154282">
                                      <w:marLeft w:val="0"/>
                                      <w:marRight w:val="0"/>
                                      <w:marTop w:val="0"/>
                                      <w:marBottom w:val="0"/>
                                      <w:divBdr>
                                        <w:top w:val="none" w:sz="0" w:space="0" w:color="auto"/>
                                        <w:left w:val="none" w:sz="0" w:space="0" w:color="auto"/>
                                        <w:bottom w:val="none" w:sz="0" w:space="0" w:color="auto"/>
                                        <w:right w:val="none" w:sz="0" w:space="0" w:color="auto"/>
                                      </w:divBdr>
                                      <w:divsChild>
                                        <w:div w:id="1679045140">
                                          <w:marLeft w:val="0"/>
                                          <w:marRight w:val="0"/>
                                          <w:marTop w:val="0"/>
                                          <w:marBottom w:val="0"/>
                                          <w:divBdr>
                                            <w:top w:val="none" w:sz="0" w:space="0" w:color="auto"/>
                                            <w:left w:val="none" w:sz="0" w:space="0" w:color="auto"/>
                                            <w:bottom w:val="none" w:sz="0" w:space="0" w:color="auto"/>
                                            <w:right w:val="none" w:sz="0" w:space="0" w:color="auto"/>
                                          </w:divBdr>
                                          <w:divsChild>
                                            <w:div w:id="149337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854309">
                                  <w:marLeft w:val="0"/>
                                  <w:marRight w:val="0"/>
                                  <w:marTop w:val="0"/>
                                  <w:marBottom w:val="0"/>
                                  <w:divBdr>
                                    <w:top w:val="single" w:sz="6" w:space="0" w:color="81C6FF"/>
                                    <w:left w:val="none" w:sz="0" w:space="0" w:color="auto"/>
                                    <w:bottom w:val="single" w:sz="6" w:space="0" w:color="03569A"/>
                                    <w:right w:val="none" w:sz="0" w:space="0" w:color="auto"/>
                                  </w:divBdr>
                                  <w:divsChild>
                                    <w:div w:id="410392220">
                                      <w:marLeft w:val="0"/>
                                      <w:marRight w:val="0"/>
                                      <w:marTop w:val="0"/>
                                      <w:marBottom w:val="0"/>
                                      <w:divBdr>
                                        <w:top w:val="none" w:sz="0" w:space="0" w:color="auto"/>
                                        <w:left w:val="none" w:sz="0" w:space="0" w:color="auto"/>
                                        <w:bottom w:val="none" w:sz="0" w:space="0" w:color="auto"/>
                                        <w:right w:val="none" w:sz="0" w:space="0" w:color="auto"/>
                                      </w:divBdr>
                                    </w:div>
                                  </w:divsChild>
                                </w:div>
                                <w:div w:id="801458792">
                                  <w:marLeft w:val="0"/>
                                  <w:marRight w:val="0"/>
                                  <w:marTop w:val="0"/>
                                  <w:marBottom w:val="0"/>
                                  <w:divBdr>
                                    <w:top w:val="single" w:sz="6" w:space="0" w:color="81C6FF"/>
                                    <w:left w:val="none" w:sz="0" w:space="0" w:color="auto"/>
                                    <w:bottom w:val="single" w:sz="6" w:space="0" w:color="03569A"/>
                                    <w:right w:val="none" w:sz="0" w:space="0" w:color="auto"/>
                                  </w:divBdr>
                                  <w:divsChild>
                                    <w:div w:id="350106105">
                                      <w:marLeft w:val="0"/>
                                      <w:marRight w:val="0"/>
                                      <w:marTop w:val="0"/>
                                      <w:marBottom w:val="0"/>
                                      <w:divBdr>
                                        <w:top w:val="none" w:sz="0" w:space="0" w:color="auto"/>
                                        <w:left w:val="none" w:sz="0" w:space="0" w:color="auto"/>
                                        <w:bottom w:val="none" w:sz="0" w:space="0" w:color="auto"/>
                                        <w:right w:val="none" w:sz="0" w:space="0" w:color="auto"/>
                                      </w:divBdr>
                                      <w:divsChild>
                                        <w:div w:id="2142844011">
                                          <w:marLeft w:val="0"/>
                                          <w:marRight w:val="0"/>
                                          <w:marTop w:val="0"/>
                                          <w:marBottom w:val="0"/>
                                          <w:divBdr>
                                            <w:top w:val="none" w:sz="0" w:space="0" w:color="auto"/>
                                            <w:left w:val="none" w:sz="0" w:space="0" w:color="auto"/>
                                            <w:bottom w:val="none" w:sz="0" w:space="0" w:color="auto"/>
                                            <w:right w:val="none" w:sz="0" w:space="0" w:color="auto"/>
                                          </w:divBdr>
                                          <w:divsChild>
                                            <w:div w:id="12838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28348">
                                  <w:marLeft w:val="0"/>
                                  <w:marRight w:val="0"/>
                                  <w:marTop w:val="0"/>
                                  <w:marBottom w:val="0"/>
                                  <w:divBdr>
                                    <w:top w:val="single" w:sz="6" w:space="0" w:color="81C6FF"/>
                                    <w:left w:val="none" w:sz="0" w:space="0" w:color="auto"/>
                                    <w:bottom w:val="single" w:sz="6" w:space="0" w:color="03569A"/>
                                    <w:right w:val="none" w:sz="0" w:space="0" w:color="auto"/>
                                  </w:divBdr>
                                  <w:divsChild>
                                    <w:div w:id="405423680">
                                      <w:marLeft w:val="0"/>
                                      <w:marRight w:val="0"/>
                                      <w:marTop w:val="0"/>
                                      <w:marBottom w:val="0"/>
                                      <w:divBdr>
                                        <w:top w:val="none" w:sz="0" w:space="0" w:color="auto"/>
                                        <w:left w:val="none" w:sz="0" w:space="0" w:color="auto"/>
                                        <w:bottom w:val="none" w:sz="0" w:space="0" w:color="auto"/>
                                        <w:right w:val="none" w:sz="0" w:space="0" w:color="auto"/>
                                      </w:divBdr>
                                    </w:div>
                                  </w:divsChild>
                                </w:div>
                                <w:div w:id="1583366385">
                                  <w:marLeft w:val="0"/>
                                  <w:marRight w:val="0"/>
                                  <w:marTop w:val="0"/>
                                  <w:marBottom w:val="0"/>
                                  <w:divBdr>
                                    <w:top w:val="single" w:sz="6" w:space="0" w:color="81C6FF"/>
                                    <w:left w:val="none" w:sz="0" w:space="0" w:color="auto"/>
                                    <w:bottom w:val="single" w:sz="6" w:space="0" w:color="03569A"/>
                                    <w:right w:val="none" w:sz="0" w:space="0" w:color="auto"/>
                                  </w:divBdr>
                                  <w:divsChild>
                                    <w:div w:id="38282735">
                                      <w:marLeft w:val="0"/>
                                      <w:marRight w:val="0"/>
                                      <w:marTop w:val="0"/>
                                      <w:marBottom w:val="0"/>
                                      <w:divBdr>
                                        <w:top w:val="none" w:sz="0" w:space="0" w:color="auto"/>
                                        <w:left w:val="none" w:sz="0" w:space="0" w:color="auto"/>
                                        <w:bottom w:val="none" w:sz="0" w:space="0" w:color="auto"/>
                                        <w:right w:val="none" w:sz="0" w:space="0" w:color="auto"/>
                                      </w:divBdr>
                                    </w:div>
                                  </w:divsChild>
                                </w:div>
                                <w:div w:id="1029062481">
                                  <w:marLeft w:val="0"/>
                                  <w:marRight w:val="0"/>
                                  <w:marTop w:val="0"/>
                                  <w:marBottom w:val="0"/>
                                  <w:divBdr>
                                    <w:top w:val="single" w:sz="6" w:space="0" w:color="81C6FF"/>
                                    <w:left w:val="none" w:sz="0" w:space="0" w:color="auto"/>
                                    <w:bottom w:val="single" w:sz="6" w:space="0" w:color="03569A"/>
                                    <w:right w:val="none" w:sz="0" w:space="0" w:color="auto"/>
                                  </w:divBdr>
                                  <w:divsChild>
                                    <w:div w:id="885528589">
                                      <w:marLeft w:val="0"/>
                                      <w:marRight w:val="0"/>
                                      <w:marTop w:val="0"/>
                                      <w:marBottom w:val="0"/>
                                      <w:divBdr>
                                        <w:top w:val="none" w:sz="0" w:space="0" w:color="auto"/>
                                        <w:left w:val="none" w:sz="0" w:space="0" w:color="auto"/>
                                        <w:bottom w:val="none" w:sz="0" w:space="0" w:color="auto"/>
                                        <w:right w:val="none" w:sz="0" w:space="0" w:color="auto"/>
                                      </w:divBdr>
                                      <w:divsChild>
                                        <w:div w:id="1133449142">
                                          <w:marLeft w:val="0"/>
                                          <w:marRight w:val="0"/>
                                          <w:marTop w:val="0"/>
                                          <w:marBottom w:val="0"/>
                                          <w:divBdr>
                                            <w:top w:val="none" w:sz="0" w:space="0" w:color="auto"/>
                                            <w:left w:val="none" w:sz="0" w:space="0" w:color="auto"/>
                                            <w:bottom w:val="none" w:sz="0" w:space="0" w:color="auto"/>
                                            <w:right w:val="none" w:sz="0" w:space="0" w:color="auto"/>
                                          </w:divBdr>
                                          <w:divsChild>
                                            <w:div w:id="14732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617561">
                                  <w:marLeft w:val="0"/>
                                  <w:marRight w:val="0"/>
                                  <w:marTop w:val="0"/>
                                  <w:marBottom w:val="0"/>
                                  <w:divBdr>
                                    <w:top w:val="single" w:sz="6" w:space="0" w:color="81C6FF"/>
                                    <w:left w:val="none" w:sz="0" w:space="0" w:color="auto"/>
                                    <w:bottom w:val="none" w:sz="0" w:space="0" w:color="auto"/>
                                    <w:right w:val="none" w:sz="0" w:space="0" w:color="auto"/>
                                  </w:divBdr>
                                  <w:divsChild>
                                    <w:div w:id="35693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965413">
                  <w:marLeft w:val="0"/>
                  <w:marRight w:val="0"/>
                  <w:marTop w:val="120"/>
                  <w:marBottom w:val="90"/>
                  <w:divBdr>
                    <w:top w:val="none" w:sz="0" w:space="0" w:color="auto"/>
                    <w:left w:val="none" w:sz="0" w:space="0" w:color="auto"/>
                    <w:bottom w:val="none" w:sz="0" w:space="0" w:color="auto"/>
                    <w:right w:val="none" w:sz="0" w:space="0" w:color="auto"/>
                  </w:divBdr>
                  <w:divsChild>
                    <w:div w:id="919603273">
                      <w:marLeft w:val="0"/>
                      <w:marRight w:val="0"/>
                      <w:marTop w:val="0"/>
                      <w:marBottom w:val="0"/>
                      <w:divBdr>
                        <w:top w:val="none" w:sz="0" w:space="0" w:color="auto"/>
                        <w:left w:val="none" w:sz="0" w:space="0" w:color="auto"/>
                        <w:bottom w:val="single" w:sz="12" w:space="0" w:color="EBEBEB"/>
                        <w:right w:val="none" w:sz="0" w:space="0" w:color="auto"/>
                      </w:divBdr>
                    </w:div>
                    <w:div w:id="2003779868">
                      <w:marLeft w:val="0"/>
                      <w:marRight w:val="0"/>
                      <w:marTop w:val="0"/>
                      <w:marBottom w:val="0"/>
                      <w:divBdr>
                        <w:top w:val="none" w:sz="0" w:space="0" w:color="auto"/>
                        <w:left w:val="none" w:sz="0" w:space="0" w:color="auto"/>
                        <w:bottom w:val="none" w:sz="0" w:space="0" w:color="auto"/>
                        <w:right w:val="none" w:sz="0" w:space="0" w:color="auto"/>
                      </w:divBdr>
                      <w:divsChild>
                        <w:div w:id="993797486">
                          <w:marLeft w:val="0"/>
                          <w:marRight w:val="0"/>
                          <w:marTop w:val="0"/>
                          <w:marBottom w:val="0"/>
                          <w:divBdr>
                            <w:top w:val="none" w:sz="0" w:space="0" w:color="auto"/>
                            <w:left w:val="none" w:sz="0" w:space="0" w:color="auto"/>
                            <w:bottom w:val="none" w:sz="0" w:space="0" w:color="auto"/>
                            <w:right w:val="none" w:sz="0" w:space="0" w:color="auto"/>
                          </w:divBdr>
                          <w:divsChild>
                            <w:div w:id="15328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279642">
                  <w:marLeft w:val="0"/>
                  <w:marRight w:val="0"/>
                  <w:marTop w:val="120"/>
                  <w:marBottom w:val="90"/>
                  <w:divBdr>
                    <w:top w:val="none" w:sz="0" w:space="0" w:color="auto"/>
                    <w:left w:val="none" w:sz="0" w:space="0" w:color="auto"/>
                    <w:bottom w:val="none" w:sz="0" w:space="0" w:color="auto"/>
                    <w:right w:val="none" w:sz="0" w:space="0" w:color="auto"/>
                  </w:divBdr>
                  <w:divsChild>
                    <w:div w:id="1194735144">
                      <w:marLeft w:val="0"/>
                      <w:marRight w:val="0"/>
                      <w:marTop w:val="0"/>
                      <w:marBottom w:val="0"/>
                      <w:divBdr>
                        <w:top w:val="none" w:sz="0" w:space="0" w:color="auto"/>
                        <w:left w:val="none" w:sz="0" w:space="0" w:color="auto"/>
                        <w:bottom w:val="none" w:sz="0" w:space="0" w:color="auto"/>
                        <w:right w:val="none" w:sz="0" w:space="0" w:color="auto"/>
                      </w:divBdr>
                      <w:divsChild>
                        <w:div w:id="208228072">
                          <w:marLeft w:val="0"/>
                          <w:marRight w:val="0"/>
                          <w:marTop w:val="0"/>
                          <w:marBottom w:val="0"/>
                          <w:divBdr>
                            <w:top w:val="none" w:sz="0" w:space="0" w:color="auto"/>
                            <w:left w:val="none" w:sz="0" w:space="0" w:color="auto"/>
                            <w:bottom w:val="none" w:sz="0" w:space="0" w:color="auto"/>
                            <w:right w:val="none" w:sz="0" w:space="0" w:color="auto"/>
                          </w:divBdr>
                          <w:divsChild>
                            <w:div w:id="142942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36706">
                  <w:marLeft w:val="0"/>
                  <w:marRight w:val="0"/>
                  <w:marTop w:val="120"/>
                  <w:marBottom w:val="90"/>
                  <w:divBdr>
                    <w:top w:val="none" w:sz="0" w:space="0" w:color="auto"/>
                    <w:left w:val="none" w:sz="0" w:space="0" w:color="auto"/>
                    <w:bottom w:val="none" w:sz="0" w:space="0" w:color="auto"/>
                    <w:right w:val="none" w:sz="0" w:space="0" w:color="auto"/>
                  </w:divBdr>
                  <w:divsChild>
                    <w:div w:id="1875577799">
                      <w:marLeft w:val="0"/>
                      <w:marRight w:val="0"/>
                      <w:marTop w:val="0"/>
                      <w:marBottom w:val="0"/>
                      <w:divBdr>
                        <w:top w:val="none" w:sz="0" w:space="0" w:color="auto"/>
                        <w:left w:val="none" w:sz="0" w:space="0" w:color="auto"/>
                        <w:bottom w:val="single" w:sz="12" w:space="0" w:color="E0E0E0"/>
                        <w:right w:val="none" w:sz="0" w:space="0" w:color="auto"/>
                      </w:divBdr>
                    </w:div>
                    <w:div w:id="569970798">
                      <w:marLeft w:val="0"/>
                      <w:marRight w:val="0"/>
                      <w:marTop w:val="0"/>
                      <w:marBottom w:val="0"/>
                      <w:divBdr>
                        <w:top w:val="none" w:sz="0" w:space="0" w:color="auto"/>
                        <w:left w:val="none" w:sz="0" w:space="0" w:color="auto"/>
                        <w:bottom w:val="none" w:sz="0" w:space="0" w:color="auto"/>
                        <w:right w:val="none" w:sz="0" w:space="0" w:color="auto"/>
                      </w:divBdr>
                      <w:divsChild>
                        <w:div w:id="1288851005">
                          <w:marLeft w:val="0"/>
                          <w:marRight w:val="0"/>
                          <w:marTop w:val="0"/>
                          <w:marBottom w:val="0"/>
                          <w:divBdr>
                            <w:top w:val="none" w:sz="0" w:space="0" w:color="auto"/>
                            <w:left w:val="none" w:sz="0" w:space="0" w:color="auto"/>
                            <w:bottom w:val="none" w:sz="0" w:space="0" w:color="auto"/>
                            <w:right w:val="none" w:sz="0" w:space="0" w:color="auto"/>
                          </w:divBdr>
                          <w:divsChild>
                            <w:div w:id="442505964">
                              <w:marLeft w:val="0"/>
                              <w:marRight w:val="0"/>
                              <w:marTop w:val="0"/>
                              <w:marBottom w:val="0"/>
                              <w:divBdr>
                                <w:top w:val="none" w:sz="0" w:space="0" w:color="auto"/>
                                <w:left w:val="none" w:sz="0" w:space="0" w:color="auto"/>
                                <w:bottom w:val="none" w:sz="0" w:space="0" w:color="auto"/>
                                <w:right w:val="none" w:sz="0" w:space="0" w:color="auto"/>
                              </w:divBdr>
                              <w:divsChild>
                                <w:div w:id="2017877960">
                                  <w:marLeft w:val="0"/>
                                  <w:marRight w:val="0"/>
                                  <w:marTop w:val="0"/>
                                  <w:marBottom w:val="0"/>
                                  <w:divBdr>
                                    <w:top w:val="single" w:sz="6" w:space="0" w:color="009BE3"/>
                                    <w:left w:val="single" w:sz="6" w:space="0" w:color="009BE3"/>
                                    <w:bottom w:val="single" w:sz="6" w:space="0" w:color="009BE3"/>
                                    <w:right w:val="single" w:sz="6" w:space="0" w:color="009BE3"/>
                                  </w:divBdr>
                                  <w:divsChild>
                                    <w:div w:id="1231039931">
                                      <w:marLeft w:val="0"/>
                                      <w:marRight w:val="0"/>
                                      <w:marTop w:val="0"/>
                                      <w:marBottom w:val="0"/>
                                      <w:divBdr>
                                        <w:top w:val="none" w:sz="0" w:space="0" w:color="auto"/>
                                        <w:left w:val="none" w:sz="0" w:space="0" w:color="auto"/>
                                        <w:bottom w:val="none" w:sz="0" w:space="0" w:color="auto"/>
                                        <w:right w:val="none" w:sz="0" w:space="0" w:color="auto"/>
                                      </w:divBdr>
                                      <w:divsChild>
                                        <w:div w:id="1513109663">
                                          <w:marLeft w:val="0"/>
                                          <w:marRight w:val="0"/>
                                          <w:marTop w:val="0"/>
                                          <w:marBottom w:val="0"/>
                                          <w:divBdr>
                                            <w:top w:val="none" w:sz="0" w:space="0" w:color="auto"/>
                                            <w:left w:val="none" w:sz="0" w:space="0" w:color="auto"/>
                                            <w:bottom w:val="none" w:sz="0" w:space="0" w:color="auto"/>
                                            <w:right w:val="none" w:sz="0" w:space="0" w:color="auto"/>
                                          </w:divBdr>
                                          <w:divsChild>
                                            <w:div w:id="1544904915">
                                              <w:marLeft w:val="0"/>
                                              <w:marRight w:val="0"/>
                                              <w:marTop w:val="0"/>
                                              <w:marBottom w:val="0"/>
                                              <w:divBdr>
                                                <w:top w:val="none" w:sz="0" w:space="0" w:color="auto"/>
                                                <w:left w:val="none" w:sz="0" w:space="0" w:color="auto"/>
                                                <w:bottom w:val="none" w:sz="0" w:space="0" w:color="auto"/>
                                                <w:right w:val="none" w:sz="0" w:space="0" w:color="auto"/>
                                              </w:divBdr>
                                            </w:div>
                                            <w:div w:id="325282222">
                                              <w:marLeft w:val="0"/>
                                              <w:marRight w:val="0"/>
                                              <w:marTop w:val="0"/>
                                              <w:marBottom w:val="0"/>
                                              <w:divBdr>
                                                <w:top w:val="none" w:sz="0" w:space="0" w:color="auto"/>
                                                <w:left w:val="none" w:sz="0" w:space="0" w:color="auto"/>
                                                <w:bottom w:val="none" w:sz="0" w:space="0" w:color="auto"/>
                                                <w:right w:val="none" w:sz="0" w:space="0" w:color="auto"/>
                                              </w:divBdr>
                                            </w:div>
                                            <w:div w:id="311300846">
                                              <w:marLeft w:val="0"/>
                                              <w:marRight w:val="0"/>
                                              <w:marTop w:val="0"/>
                                              <w:marBottom w:val="0"/>
                                              <w:divBdr>
                                                <w:top w:val="none" w:sz="0" w:space="0" w:color="auto"/>
                                                <w:left w:val="none" w:sz="0" w:space="0" w:color="auto"/>
                                                <w:bottom w:val="none" w:sz="0" w:space="0" w:color="auto"/>
                                                <w:right w:val="none" w:sz="0" w:space="0" w:color="auto"/>
                                              </w:divBdr>
                                              <w:divsChild>
                                                <w:div w:id="1881160855">
                                                  <w:marLeft w:val="0"/>
                                                  <w:marRight w:val="0"/>
                                                  <w:marTop w:val="0"/>
                                                  <w:marBottom w:val="0"/>
                                                  <w:divBdr>
                                                    <w:top w:val="none" w:sz="0" w:space="0" w:color="auto"/>
                                                    <w:left w:val="none" w:sz="0" w:space="0" w:color="auto"/>
                                                    <w:bottom w:val="none" w:sz="0" w:space="0" w:color="auto"/>
                                                    <w:right w:val="none" w:sz="0" w:space="0" w:color="auto"/>
                                                  </w:divBdr>
                                                </w:div>
                                              </w:divsChild>
                                            </w:div>
                                            <w:div w:id="900751642">
                                              <w:marLeft w:val="0"/>
                                              <w:marRight w:val="0"/>
                                              <w:marTop w:val="0"/>
                                              <w:marBottom w:val="0"/>
                                              <w:divBdr>
                                                <w:top w:val="none" w:sz="0" w:space="0" w:color="auto"/>
                                                <w:left w:val="none" w:sz="0" w:space="0" w:color="auto"/>
                                                <w:bottom w:val="none" w:sz="0" w:space="0" w:color="auto"/>
                                                <w:right w:val="none" w:sz="0" w:space="0" w:color="auto"/>
                                              </w:divBdr>
                                            </w:div>
                                          </w:divsChild>
                                        </w:div>
                                        <w:div w:id="1035882567">
                                          <w:marLeft w:val="0"/>
                                          <w:marRight w:val="0"/>
                                          <w:marTop w:val="0"/>
                                          <w:marBottom w:val="0"/>
                                          <w:divBdr>
                                            <w:top w:val="none" w:sz="0" w:space="0" w:color="auto"/>
                                            <w:left w:val="none" w:sz="0" w:space="0" w:color="auto"/>
                                            <w:bottom w:val="none" w:sz="0" w:space="0" w:color="auto"/>
                                            <w:right w:val="none" w:sz="0" w:space="0" w:color="auto"/>
                                          </w:divBdr>
                                          <w:divsChild>
                                            <w:div w:id="1798209416">
                                              <w:marLeft w:val="0"/>
                                              <w:marRight w:val="0"/>
                                              <w:marTop w:val="0"/>
                                              <w:marBottom w:val="0"/>
                                              <w:divBdr>
                                                <w:top w:val="none" w:sz="0" w:space="0" w:color="auto"/>
                                                <w:left w:val="none" w:sz="0" w:space="0" w:color="auto"/>
                                                <w:bottom w:val="none" w:sz="0" w:space="0" w:color="auto"/>
                                                <w:right w:val="none" w:sz="0" w:space="0" w:color="auto"/>
                                              </w:divBdr>
                                              <w:divsChild>
                                                <w:div w:id="610864415">
                                                  <w:marLeft w:val="0"/>
                                                  <w:marRight w:val="0"/>
                                                  <w:marTop w:val="0"/>
                                                  <w:marBottom w:val="0"/>
                                                  <w:divBdr>
                                                    <w:top w:val="none" w:sz="0" w:space="0" w:color="auto"/>
                                                    <w:left w:val="none" w:sz="0" w:space="0" w:color="auto"/>
                                                    <w:bottom w:val="none" w:sz="0" w:space="0" w:color="auto"/>
                                                    <w:right w:val="none" w:sz="0" w:space="0" w:color="auto"/>
                                                  </w:divBdr>
                                                  <w:divsChild>
                                                    <w:div w:id="1822962938">
                                                      <w:marLeft w:val="0"/>
                                                      <w:marRight w:val="0"/>
                                                      <w:marTop w:val="0"/>
                                                      <w:marBottom w:val="0"/>
                                                      <w:divBdr>
                                                        <w:top w:val="none" w:sz="0" w:space="0" w:color="auto"/>
                                                        <w:left w:val="none" w:sz="0" w:space="0" w:color="auto"/>
                                                        <w:bottom w:val="none" w:sz="0" w:space="0" w:color="auto"/>
                                                        <w:right w:val="none" w:sz="0" w:space="0" w:color="auto"/>
                                                      </w:divBdr>
                                                    </w:div>
                                                    <w:div w:id="1849754939">
                                                      <w:marLeft w:val="0"/>
                                                      <w:marRight w:val="0"/>
                                                      <w:marTop w:val="0"/>
                                                      <w:marBottom w:val="0"/>
                                                      <w:divBdr>
                                                        <w:top w:val="none" w:sz="0" w:space="0" w:color="auto"/>
                                                        <w:left w:val="none" w:sz="0" w:space="0" w:color="auto"/>
                                                        <w:bottom w:val="none" w:sz="0" w:space="0" w:color="auto"/>
                                                        <w:right w:val="none" w:sz="0" w:space="0" w:color="auto"/>
                                                      </w:divBdr>
                                                    </w:div>
                                                    <w:div w:id="552231842">
                                                      <w:marLeft w:val="0"/>
                                                      <w:marRight w:val="0"/>
                                                      <w:marTop w:val="0"/>
                                                      <w:marBottom w:val="0"/>
                                                      <w:divBdr>
                                                        <w:top w:val="none" w:sz="0" w:space="0" w:color="auto"/>
                                                        <w:left w:val="none" w:sz="0" w:space="0" w:color="auto"/>
                                                        <w:bottom w:val="none" w:sz="0" w:space="0" w:color="auto"/>
                                                        <w:right w:val="none" w:sz="0" w:space="0" w:color="auto"/>
                                                      </w:divBdr>
                                                    </w:div>
                                                    <w:div w:id="1884487767">
                                                      <w:marLeft w:val="0"/>
                                                      <w:marRight w:val="0"/>
                                                      <w:marTop w:val="0"/>
                                                      <w:marBottom w:val="0"/>
                                                      <w:divBdr>
                                                        <w:top w:val="none" w:sz="0" w:space="0" w:color="auto"/>
                                                        <w:left w:val="none" w:sz="0" w:space="0" w:color="auto"/>
                                                        <w:bottom w:val="none" w:sz="0" w:space="0" w:color="auto"/>
                                                        <w:right w:val="none" w:sz="0" w:space="0" w:color="auto"/>
                                                      </w:divBdr>
                                                    </w:div>
                                                    <w:div w:id="90132246">
                                                      <w:marLeft w:val="0"/>
                                                      <w:marRight w:val="0"/>
                                                      <w:marTop w:val="0"/>
                                                      <w:marBottom w:val="0"/>
                                                      <w:divBdr>
                                                        <w:top w:val="none" w:sz="0" w:space="0" w:color="auto"/>
                                                        <w:left w:val="none" w:sz="0" w:space="0" w:color="auto"/>
                                                        <w:bottom w:val="none" w:sz="0" w:space="0" w:color="auto"/>
                                                        <w:right w:val="none" w:sz="0" w:space="0" w:color="auto"/>
                                                      </w:divBdr>
                                                    </w:div>
                                                    <w:div w:id="357237396">
                                                      <w:marLeft w:val="0"/>
                                                      <w:marRight w:val="0"/>
                                                      <w:marTop w:val="0"/>
                                                      <w:marBottom w:val="0"/>
                                                      <w:divBdr>
                                                        <w:top w:val="none" w:sz="0" w:space="0" w:color="auto"/>
                                                        <w:left w:val="none" w:sz="0" w:space="0" w:color="auto"/>
                                                        <w:bottom w:val="none" w:sz="0" w:space="0" w:color="auto"/>
                                                        <w:right w:val="none" w:sz="0" w:space="0" w:color="auto"/>
                                                      </w:divBdr>
                                                    </w:div>
                                                    <w:div w:id="2012366229">
                                                      <w:marLeft w:val="0"/>
                                                      <w:marRight w:val="0"/>
                                                      <w:marTop w:val="0"/>
                                                      <w:marBottom w:val="0"/>
                                                      <w:divBdr>
                                                        <w:top w:val="none" w:sz="0" w:space="0" w:color="auto"/>
                                                        <w:left w:val="none" w:sz="0" w:space="0" w:color="auto"/>
                                                        <w:bottom w:val="none" w:sz="0" w:space="0" w:color="auto"/>
                                                        <w:right w:val="none" w:sz="0" w:space="0" w:color="auto"/>
                                                      </w:divBdr>
                                                    </w:div>
                                                    <w:div w:id="1970550436">
                                                      <w:marLeft w:val="0"/>
                                                      <w:marRight w:val="0"/>
                                                      <w:marTop w:val="0"/>
                                                      <w:marBottom w:val="0"/>
                                                      <w:divBdr>
                                                        <w:top w:val="none" w:sz="0" w:space="0" w:color="auto"/>
                                                        <w:left w:val="none" w:sz="0" w:space="0" w:color="auto"/>
                                                        <w:bottom w:val="none" w:sz="0" w:space="0" w:color="auto"/>
                                                        <w:right w:val="none" w:sz="0" w:space="0" w:color="auto"/>
                                                      </w:divBdr>
                                                    </w:div>
                                                    <w:div w:id="1064379801">
                                                      <w:marLeft w:val="0"/>
                                                      <w:marRight w:val="0"/>
                                                      <w:marTop w:val="0"/>
                                                      <w:marBottom w:val="0"/>
                                                      <w:divBdr>
                                                        <w:top w:val="none" w:sz="0" w:space="0" w:color="auto"/>
                                                        <w:left w:val="none" w:sz="0" w:space="0" w:color="auto"/>
                                                        <w:bottom w:val="none" w:sz="0" w:space="0" w:color="auto"/>
                                                        <w:right w:val="none" w:sz="0" w:space="0" w:color="auto"/>
                                                      </w:divBdr>
                                                    </w:div>
                                                    <w:div w:id="1899855333">
                                                      <w:marLeft w:val="0"/>
                                                      <w:marRight w:val="0"/>
                                                      <w:marTop w:val="0"/>
                                                      <w:marBottom w:val="0"/>
                                                      <w:divBdr>
                                                        <w:top w:val="none" w:sz="0" w:space="0" w:color="auto"/>
                                                        <w:left w:val="none" w:sz="0" w:space="0" w:color="auto"/>
                                                        <w:bottom w:val="none" w:sz="0" w:space="0" w:color="auto"/>
                                                        <w:right w:val="none" w:sz="0" w:space="0" w:color="auto"/>
                                                      </w:divBdr>
                                                    </w:div>
                                                    <w:div w:id="1456824449">
                                                      <w:marLeft w:val="0"/>
                                                      <w:marRight w:val="0"/>
                                                      <w:marTop w:val="0"/>
                                                      <w:marBottom w:val="0"/>
                                                      <w:divBdr>
                                                        <w:top w:val="none" w:sz="0" w:space="0" w:color="auto"/>
                                                        <w:left w:val="none" w:sz="0" w:space="0" w:color="auto"/>
                                                        <w:bottom w:val="none" w:sz="0" w:space="0" w:color="auto"/>
                                                        <w:right w:val="none" w:sz="0" w:space="0" w:color="auto"/>
                                                      </w:divBdr>
                                                    </w:div>
                                                    <w:div w:id="1417901927">
                                                      <w:marLeft w:val="0"/>
                                                      <w:marRight w:val="0"/>
                                                      <w:marTop w:val="0"/>
                                                      <w:marBottom w:val="0"/>
                                                      <w:divBdr>
                                                        <w:top w:val="none" w:sz="0" w:space="0" w:color="auto"/>
                                                        <w:left w:val="none" w:sz="0" w:space="0" w:color="auto"/>
                                                        <w:bottom w:val="none" w:sz="0" w:space="0" w:color="auto"/>
                                                        <w:right w:val="none" w:sz="0" w:space="0" w:color="auto"/>
                                                      </w:divBdr>
                                                    </w:div>
                                                    <w:div w:id="1183207684">
                                                      <w:marLeft w:val="0"/>
                                                      <w:marRight w:val="0"/>
                                                      <w:marTop w:val="0"/>
                                                      <w:marBottom w:val="0"/>
                                                      <w:divBdr>
                                                        <w:top w:val="none" w:sz="0" w:space="0" w:color="auto"/>
                                                        <w:left w:val="none" w:sz="0" w:space="0" w:color="auto"/>
                                                        <w:bottom w:val="none" w:sz="0" w:space="0" w:color="auto"/>
                                                        <w:right w:val="none" w:sz="0" w:space="0" w:color="auto"/>
                                                      </w:divBdr>
                                                    </w:div>
                                                    <w:div w:id="827089186">
                                                      <w:marLeft w:val="0"/>
                                                      <w:marRight w:val="0"/>
                                                      <w:marTop w:val="0"/>
                                                      <w:marBottom w:val="0"/>
                                                      <w:divBdr>
                                                        <w:top w:val="none" w:sz="0" w:space="0" w:color="auto"/>
                                                        <w:left w:val="none" w:sz="0" w:space="0" w:color="auto"/>
                                                        <w:bottom w:val="none" w:sz="0" w:space="0" w:color="auto"/>
                                                        <w:right w:val="none" w:sz="0" w:space="0" w:color="auto"/>
                                                      </w:divBdr>
                                                    </w:div>
                                                    <w:div w:id="209342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9379053">
                  <w:marLeft w:val="0"/>
                  <w:marRight w:val="0"/>
                  <w:marTop w:val="120"/>
                  <w:marBottom w:val="90"/>
                  <w:divBdr>
                    <w:top w:val="none" w:sz="0" w:space="0" w:color="auto"/>
                    <w:left w:val="none" w:sz="0" w:space="0" w:color="auto"/>
                    <w:bottom w:val="none" w:sz="0" w:space="0" w:color="auto"/>
                    <w:right w:val="none" w:sz="0" w:space="0" w:color="auto"/>
                  </w:divBdr>
                  <w:divsChild>
                    <w:div w:id="677391127">
                      <w:marLeft w:val="0"/>
                      <w:marRight w:val="0"/>
                      <w:marTop w:val="0"/>
                      <w:marBottom w:val="0"/>
                      <w:divBdr>
                        <w:top w:val="none" w:sz="0" w:space="0" w:color="auto"/>
                        <w:left w:val="none" w:sz="0" w:space="0" w:color="auto"/>
                        <w:bottom w:val="single" w:sz="12" w:space="0" w:color="E0E0E0"/>
                        <w:right w:val="none" w:sz="0" w:space="0" w:color="auto"/>
                      </w:divBdr>
                    </w:div>
                    <w:div w:id="447162110">
                      <w:marLeft w:val="0"/>
                      <w:marRight w:val="0"/>
                      <w:marTop w:val="0"/>
                      <w:marBottom w:val="0"/>
                      <w:divBdr>
                        <w:top w:val="none" w:sz="0" w:space="0" w:color="auto"/>
                        <w:left w:val="none" w:sz="0" w:space="0" w:color="auto"/>
                        <w:bottom w:val="none" w:sz="0" w:space="0" w:color="auto"/>
                        <w:right w:val="none" w:sz="0" w:space="0" w:color="auto"/>
                      </w:divBdr>
                      <w:divsChild>
                        <w:div w:id="1247567399">
                          <w:marLeft w:val="0"/>
                          <w:marRight w:val="0"/>
                          <w:marTop w:val="0"/>
                          <w:marBottom w:val="0"/>
                          <w:divBdr>
                            <w:top w:val="none" w:sz="0" w:space="0" w:color="auto"/>
                            <w:left w:val="none" w:sz="0" w:space="0" w:color="auto"/>
                            <w:bottom w:val="none" w:sz="0" w:space="0" w:color="auto"/>
                            <w:right w:val="none" w:sz="0" w:space="0" w:color="auto"/>
                          </w:divBdr>
                          <w:divsChild>
                            <w:div w:id="6824361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nban.chinhphu.vn/?pageid=27160&amp;docid=210761" TargetMode="External"/><Relationship Id="rId13" Type="http://schemas.openxmlformats.org/officeDocument/2006/relationships/hyperlink" Target="https://vanban.chinhphu.vn/?pageid=27160&amp;docid=210743" TargetMode="Externa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hyperlink" Target="https://vanban.chinhphu.vn/?pageid=27160&amp;docid=210658" TargetMode="External"/><Relationship Id="rId12" Type="http://schemas.openxmlformats.org/officeDocument/2006/relationships/hyperlink" Target="https://vanban.chinhphu.vn/?pageid=27160&amp;docid=210670"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vanban.chinhphu.vn/?pageid=27160&amp;docid=210523" TargetMode="External"/><Relationship Id="rId11" Type="http://schemas.openxmlformats.org/officeDocument/2006/relationships/hyperlink" Target="https://vanban.chinhphu.vn/?pageid=27160&amp;docid=21050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anban.chinhphu.vn/?pageid=27160&amp;docid=210561"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vanban.chinhphu.vn/?pageid=27160&amp;docid=210753" TargetMode="External"/><Relationship Id="rId14" Type="http://schemas.openxmlformats.org/officeDocument/2006/relationships/hyperlink" Target="https://vanban.chinhphu.vn/?pageid=27160&amp;docid=2105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147F24-0617-401D-9063-B3CAD37C8EA8}"/>
</file>

<file path=customXml/itemProps2.xml><?xml version="1.0" encoding="utf-8"?>
<ds:datastoreItem xmlns:ds="http://schemas.openxmlformats.org/officeDocument/2006/customXml" ds:itemID="{0C382F7A-A5C9-479C-B23B-4C2D526AF360}"/>
</file>

<file path=customXml/itemProps3.xml><?xml version="1.0" encoding="utf-8"?>
<ds:datastoreItem xmlns:ds="http://schemas.openxmlformats.org/officeDocument/2006/customXml" ds:itemID="{81337E0A-54DA-4B78-B24E-B6F39B9219B5}"/>
</file>

<file path=docProps/app.xml><?xml version="1.0" encoding="utf-8"?>
<Properties xmlns="http://schemas.openxmlformats.org/officeDocument/2006/extended-properties" xmlns:vt="http://schemas.openxmlformats.org/officeDocument/2006/docPropsVTypes">
  <Template>Normal</Template>
  <TotalTime>3</TotalTime>
  <Pages>9</Pages>
  <Words>2450</Words>
  <Characters>13969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 HUNG</dc:creator>
  <cp:lastModifiedBy>PHU HUNG</cp:lastModifiedBy>
  <cp:revision>1</cp:revision>
  <dcterms:created xsi:type="dcterms:W3CDTF">2024-08-05T07:29:00Z</dcterms:created>
  <dcterms:modified xsi:type="dcterms:W3CDTF">2024-08-05T07:32:00Z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